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62C" w:rsidRPr="00484271" w:rsidRDefault="0040562C" w:rsidP="0040562C">
      <w:pPr>
        <w:ind w:firstLine="709"/>
        <w:jc w:val="both"/>
        <w:rPr>
          <w:b/>
          <w:sz w:val="26"/>
          <w:szCs w:val="26"/>
        </w:rPr>
      </w:pPr>
      <w:r w:rsidRPr="00484271">
        <w:rPr>
          <w:b/>
          <w:sz w:val="26"/>
          <w:szCs w:val="26"/>
        </w:rPr>
        <w:t>Технические условия подключения объекта к сетям инженерно-технического обеспечения и плата за подключение по лот</w:t>
      </w:r>
      <w:r>
        <w:rPr>
          <w:b/>
          <w:sz w:val="26"/>
          <w:szCs w:val="26"/>
        </w:rPr>
        <w:t>у</w:t>
      </w:r>
      <w:r w:rsidRPr="00484271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1</w:t>
      </w:r>
      <w:r w:rsidRPr="00484271">
        <w:rPr>
          <w:b/>
          <w:sz w:val="26"/>
          <w:szCs w:val="26"/>
        </w:rPr>
        <w:t>.</w:t>
      </w:r>
    </w:p>
    <w:p w:rsidR="0040562C" w:rsidRPr="00484271" w:rsidRDefault="0040562C" w:rsidP="0040562C">
      <w:pPr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 xml:space="preserve">1. Техническая возможность подключения к электрическим сетям </w:t>
      </w:r>
      <w:r>
        <w:rPr>
          <w:sz w:val="26"/>
          <w:szCs w:val="26"/>
        </w:rPr>
        <w:t>имеется в пределах резервной мощности действующей трансформаторной подстанции, при условии выполнения заявителем всех необходимых технических мероприятий</w:t>
      </w:r>
      <w:r w:rsidRPr="00484271">
        <w:rPr>
          <w:sz w:val="26"/>
          <w:szCs w:val="26"/>
        </w:rPr>
        <w:t>. Плата за подключение устанавливается на основании постановления Департамента по тарифам Приморского края. Срок действия условий подключения определяется техническими условиями АО «</w:t>
      </w:r>
      <w:proofErr w:type="spellStart"/>
      <w:r w:rsidRPr="00484271">
        <w:rPr>
          <w:sz w:val="26"/>
          <w:szCs w:val="26"/>
        </w:rPr>
        <w:t>Арсеньевэлектросервис</w:t>
      </w:r>
      <w:proofErr w:type="spellEnd"/>
      <w:r w:rsidRPr="00484271">
        <w:rPr>
          <w:sz w:val="26"/>
          <w:szCs w:val="26"/>
        </w:rPr>
        <w:t>», поставляющего услуги по электроэнергии.</w:t>
      </w:r>
    </w:p>
    <w:p w:rsidR="0040562C" w:rsidRPr="00484271" w:rsidRDefault="0040562C" w:rsidP="0040562C">
      <w:pPr>
        <w:ind w:firstLine="709"/>
        <w:jc w:val="both"/>
        <w:rPr>
          <w:sz w:val="26"/>
          <w:szCs w:val="26"/>
        </w:rPr>
      </w:pPr>
      <w:r w:rsidRPr="00484271">
        <w:rPr>
          <w:sz w:val="26"/>
          <w:szCs w:val="26"/>
        </w:rPr>
        <w:t xml:space="preserve"> 2. Техническая возможность присоединения к тепловым сетям отсутствует, </w:t>
      </w:r>
      <w:r>
        <w:rPr>
          <w:sz w:val="26"/>
          <w:szCs w:val="26"/>
        </w:rPr>
        <w:t>в связи с отсутствием тепловых</w:t>
      </w:r>
      <w:r w:rsidRPr="00484271">
        <w:rPr>
          <w:sz w:val="26"/>
          <w:szCs w:val="26"/>
        </w:rPr>
        <w:t xml:space="preserve"> </w:t>
      </w:r>
      <w:r>
        <w:rPr>
          <w:sz w:val="26"/>
          <w:szCs w:val="26"/>
        </w:rPr>
        <w:t>сетей</w:t>
      </w:r>
      <w:r w:rsidRPr="00484271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указанном </w:t>
      </w:r>
      <w:r w:rsidRPr="00484271">
        <w:rPr>
          <w:sz w:val="26"/>
          <w:szCs w:val="26"/>
        </w:rPr>
        <w:t xml:space="preserve">районе. Предусмотреть альтернативные источники тепла. </w:t>
      </w:r>
    </w:p>
    <w:p w:rsidR="0040562C" w:rsidRPr="00A161C0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3. Техническая возможность присоединения к системе водоснабжения имеется, объем водоснабжения 0,</w:t>
      </w:r>
      <w:r>
        <w:rPr>
          <w:sz w:val="26"/>
          <w:szCs w:val="26"/>
        </w:rPr>
        <w:t>14</w:t>
      </w:r>
      <w:r w:rsidRPr="00A161C0">
        <w:rPr>
          <w:sz w:val="26"/>
          <w:szCs w:val="26"/>
        </w:rPr>
        <w:t xml:space="preserve"> м³/</w:t>
      </w:r>
      <w:proofErr w:type="spellStart"/>
      <w:r w:rsidRPr="00A161C0">
        <w:rPr>
          <w:sz w:val="26"/>
          <w:szCs w:val="26"/>
        </w:rPr>
        <w:t>сут</w:t>
      </w:r>
      <w:proofErr w:type="spellEnd"/>
      <w:r w:rsidRPr="00A161C0">
        <w:rPr>
          <w:sz w:val="26"/>
          <w:szCs w:val="26"/>
        </w:rPr>
        <w:t xml:space="preserve">. Для подтверждения запрошенного объема водопотребления Заказчик обязан предоставить расчет на водопотребление объекта, выполненный проектной организацией, на согласование в ООО «Кристалл». На основании Постановления № 54/12 от 25.10.2018 года «Об установлении тарифов на подключение (технологическое присоединение) к централизованной системе холодного водоснабжения общества с ограниченной ответственностью «Кристалл» на территории </w:t>
      </w:r>
      <w:proofErr w:type="spellStart"/>
      <w:r w:rsidRPr="00A161C0">
        <w:rPr>
          <w:sz w:val="26"/>
          <w:szCs w:val="26"/>
        </w:rPr>
        <w:t>Арсеньевского</w:t>
      </w:r>
      <w:proofErr w:type="spellEnd"/>
      <w:r w:rsidRPr="00A161C0">
        <w:rPr>
          <w:sz w:val="26"/>
          <w:szCs w:val="26"/>
        </w:rPr>
        <w:t xml:space="preserve"> городского округа Приморского края», утвержденного Департаментом по тарифам Приморского края, устанавливаются и вводятся в действие с 01 января 2019 года по 31 декабря 2019 года следующие тарифы на подключение (технологическое присоединение) к централизованной системе холодного водоснабжения общества с ограниченной ответственностью «Кристалл» на территории </w:t>
      </w:r>
      <w:proofErr w:type="spellStart"/>
      <w:r w:rsidRPr="00A161C0">
        <w:rPr>
          <w:sz w:val="26"/>
          <w:szCs w:val="26"/>
        </w:rPr>
        <w:t>Арсеньевского</w:t>
      </w:r>
      <w:proofErr w:type="spellEnd"/>
      <w:r w:rsidRPr="00A161C0">
        <w:rPr>
          <w:sz w:val="26"/>
          <w:szCs w:val="26"/>
        </w:rPr>
        <w:t xml:space="preserve"> городского округа Приморского края:</w:t>
      </w:r>
    </w:p>
    <w:p w:rsidR="0040562C" w:rsidRPr="00A161C0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1. Ставка тарифа за подключаемую (технологически присоединяемую) нагрузку – 0,264 тыс. руб./куб. м в сутки;</w:t>
      </w:r>
    </w:p>
    <w:p w:rsidR="0040562C" w:rsidRPr="00A161C0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систем:</w:t>
      </w:r>
    </w:p>
    <w:p w:rsidR="0040562C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2.1. При открытом способе прокладки</w:t>
      </w:r>
      <w:r>
        <w:rPr>
          <w:sz w:val="26"/>
          <w:szCs w:val="26"/>
        </w:rPr>
        <w:t>:</w:t>
      </w:r>
    </w:p>
    <w:p w:rsidR="0040562C" w:rsidRPr="00A161C0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</w:t>
      </w:r>
      <w:r w:rsidRPr="00A161C0">
        <w:rPr>
          <w:sz w:val="26"/>
          <w:szCs w:val="26"/>
        </w:rPr>
        <w:t xml:space="preserve"> диаметром до 100 (включительно) – 3273,66 тыс. руб./км</w:t>
      </w:r>
    </w:p>
    <w:p w:rsidR="0040562C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</w:t>
      </w:r>
      <w:r>
        <w:rPr>
          <w:sz w:val="26"/>
          <w:szCs w:val="26"/>
        </w:rPr>
        <w:t>1.</w:t>
      </w:r>
      <w:r w:rsidRPr="00A161C0">
        <w:rPr>
          <w:sz w:val="26"/>
          <w:szCs w:val="26"/>
        </w:rPr>
        <w:t xml:space="preserve">2. </w:t>
      </w:r>
      <w:r>
        <w:rPr>
          <w:sz w:val="26"/>
          <w:szCs w:val="26"/>
        </w:rPr>
        <w:t>д</w:t>
      </w:r>
      <w:r w:rsidRPr="00A161C0">
        <w:rPr>
          <w:sz w:val="26"/>
          <w:szCs w:val="26"/>
        </w:rPr>
        <w:t xml:space="preserve">иаметром от </w:t>
      </w:r>
      <w:r>
        <w:rPr>
          <w:sz w:val="26"/>
          <w:szCs w:val="26"/>
        </w:rPr>
        <w:t>100</w:t>
      </w:r>
      <w:r w:rsidRPr="00A161C0">
        <w:rPr>
          <w:sz w:val="26"/>
          <w:szCs w:val="26"/>
        </w:rPr>
        <w:t xml:space="preserve"> мм до 125 мм (включительно) – 2440,44 тыс. руб./км</w:t>
      </w:r>
    </w:p>
    <w:p w:rsidR="0040562C" w:rsidRPr="00A161C0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При прокладке сетей в стальном футляре:</w:t>
      </w:r>
    </w:p>
    <w:p w:rsidR="0040562C" w:rsidRPr="00A161C0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A161C0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A161C0">
        <w:rPr>
          <w:sz w:val="26"/>
          <w:szCs w:val="26"/>
        </w:rPr>
        <w:t xml:space="preserve">  диаметром до 100 мм (включительно) – 3732,12 тыс. руб./км</w:t>
      </w:r>
    </w:p>
    <w:p w:rsidR="0040562C" w:rsidRPr="00A161C0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A161C0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A161C0">
        <w:rPr>
          <w:sz w:val="26"/>
          <w:szCs w:val="26"/>
        </w:rPr>
        <w:t xml:space="preserve">иаметром от </w:t>
      </w:r>
      <w:r>
        <w:rPr>
          <w:sz w:val="26"/>
          <w:szCs w:val="26"/>
        </w:rPr>
        <w:t>100</w:t>
      </w:r>
      <w:r w:rsidRPr="00A161C0">
        <w:rPr>
          <w:sz w:val="26"/>
          <w:szCs w:val="26"/>
        </w:rPr>
        <w:t xml:space="preserve"> мм до 125 мм (включительно) – 4010,79 тыс. руб./км</w:t>
      </w:r>
    </w:p>
    <w:p w:rsidR="0040562C" w:rsidRPr="00A161C0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Срок действия условий подключения 3 года.</w:t>
      </w:r>
    </w:p>
    <w:p w:rsidR="0040562C" w:rsidRPr="00A161C0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Для водоснабжения объекта необходимо выполнить следующее:</w:t>
      </w:r>
    </w:p>
    <w:p w:rsidR="0040562C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- подключение объекта к системе водоснабжения выполнить от существующего водопровода диаметром </w:t>
      </w:r>
      <w:r>
        <w:rPr>
          <w:sz w:val="26"/>
          <w:szCs w:val="26"/>
        </w:rPr>
        <w:t>100</w:t>
      </w:r>
      <w:r w:rsidRPr="00A161C0">
        <w:rPr>
          <w:sz w:val="26"/>
          <w:szCs w:val="26"/>
        </w:rPr>
        <w:t xml:space="preserve"> мм ул. </w:t>
      </w:r>
      <w:r>
        <w:rPr>
          <w:sz w:val="26"/>
          <w:szCs w:val="26"/>
        </w:rPr>
        <w:t>Новикова</w:t>
      </w:r>
      <w:r w:rsidRPr="00A161C0">
        <w:rPr>
          <w:sz w:val="26"/>
          <w:szCs w:val="26"/>
        </w:rPr>
        <w:t xml:space="preserve"> (</w:t>
      </w:r>
      <w:r>
        <w:rPr>
          <w:sz w:val="26"/>
          <w:szCs w:val="26"/>
        </w:rPr>
        <w:t>сталь</w:t>
      </w:r>
      <w:r w:rsidRPr="00A161C0">
        <w:rPr>
          <w:sz w:val="26"/>
          <w:szCs w:val="26"/>
        </w:rPr>
        <w:t>) в проектируемом водопроводном колодце ВК1</w:t>
      </w:r>
      <w:r>
        <w:rPr>
          <w:sz w:val="26"/>
          <w:szCs w:val="26"/>
        </w:rPr>
        <w:t>,</w:t>
      </w:r>
      <w:r w:rsidRPr="00A161C0">
        <w:rPr>
          <w:sz w:val="26"/>
          <w:szCs w:val="26"/>
        </w:rPr>
        <w:t xml:space="preserve"> с установкой запорной арматуры в месте врезки;</w:t>
      </w:r>
    </w:p>
    <w:p w:rsidR="0040562C" w:rsidRPr="00A161C0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-предусмотреть бестраншейную прокладку водопровода;</w:t>
      </w:r>
    </w:p>
    <w:p w:rsidR="0040562C" w:rsidRPr="00A161C0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-водопроводную сеть выполнить из труб по ГОСТ 10704-91, или ГОСТ 18599-2001, ГОСТ Р 52134-2003, ГОСТ Р 52318-2005, ГОСТ Р 53630-2009, диаметр трубопровода принять по расчету;</w:t>
      </w:r>
    </w:p>
    <w:p w:rsidR="0040562C" w:rsidRPr="00A161C0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- свободный гарантированный напор в заданной точке подключения – </w:t>
      </w:r>
      <w:r>
        <w:rPr>
          <w:sz w:val="26"/>
          <w:szCs w:val="26"/>
        </w:rPr>
        <w:t>35</w:t>
      </w:r>
      <w:r w:rsidRPr="00A161C0">
        <w:rPr>
          <w:sz w:val="26"/>
          <w:szCs w:val="26"/>
        </w:rPr>
        <w:t xml:space="preserve"> м;</w:t>
      </w:r>
    </w:p>
    <w:p w:rsidR="0040562C" w:rsidRPr="00A161C0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- глубина заложения трубы в точке предполагаемого подключения – 2,</w:t>
      </w:r>
      <w:r>
        <w:rPr>
          <w:sz w:val="26"/>
          <w:szCs w:val="26"/>
        </w:rPr>
        <w:t>3</w:t>
      </w:r>
      <w:r w:rsidRPr="00A161C0">
        <w:rPr>
          <w:sz w:val="26"/>
          <w:szCs w:val="26"/>
        </w:rPr>
        <w:t xml:space="preserve"> м;</w:t>
      </w:r>
    </w:p>
    <w:p w:rsidR="0040562C" w:rsidRPr="00A161C0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- </w:t>
      </w:r>
      <w:r>
        <w:rPr>
          <w:sz w:val="26"/>
          <w:szCs w:val="26"/>
        </w:rPr>
        <w:t>проектом предусмотреть установку пожарного гидранта в проектируемом колодце ВК-1</w:t>
      </w:r>
      <w:r w:rsidRPr="00A161C0">
        <w:rPr>
          <w:sz w:val="26"/>
          <w:szCs w:val="26"/>
        </w:rPr>
        <w:t xml:space="preserve">; </w:t>
      </w:r>
    </w:p>
    <w:p w:rsidR="0040562C" w:rsidRPr="00A161C0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- предусмотреть устройство узла учета холодного водоснабжения, помещение узла учета должно быть оборудовано освещением, с температурой воздуха не ниже 5</w:t>
      </w:r>
      <w:r>
        <w:rPr>
          <w:sz w:val="26"/>
          <w:szCs w:val="26"/>
        </w:rPr>
        <w:t> </w:t>
      </w:r>
      <w:r w:rsidRPr="00A161C0">
        <w:rPr>
          <w:sz w:val="26"/>
          <w:szCs w:val="26"/>
        </w:rPr>
        <w:t>°C. Эксплуатация и обеспечение сохранности узла учета возлагается на абонента.</w:t>
      </w:r>
    </w:p>
    <w:p w:rsidR="0040562C" w:rsidRPr="00FF5125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4. Техническая возможность присоединения к системе водоотведения имеется при выполнении условий подключения к системе водоотведения, объем водоотведения 0,</w:t>
      </w:r>
      <w:r>
        <w:rPr>
          <w:sz w:val="26"/>
          <w:szCs w:val="26"/>
        </w:rPr>
        <w:t>14</w:t>
      </w:r>
      <w:r w:rsidRPr="00FF5125">
        <w:rPr>
          <w:sz w:val="26"/>
          <w:szCs w:val="26"/>
        </w:rPr>
        <w:t xml:space="preserve"> м³/</w:t>
      </w:r>
      <w:proofErr w:type="spellStart"/>
      <w:r w:rsidRPr="00FF5125">
        <w:rPr>
          <w:sz w:val="26"/>
          <w:szCs w:val="26"/>
        </w:rPr>
        <w:t>сут</w:t>
      </w:r>
      <w:proofErr w:type="spellEnd"/>
      <w:r w:rsidRPr="00FF5125">
        <w:rPr>
          <w:sz w:val="26"/>
          <w:szCs w:val="26"/>
        </w:rPr>
        <w:t xml:space="preserve">. Для подтверждения запрошенного объема водоотведения Заказчик обязан </w:t>
      </w:r>
      <w:r w:rsidRPr="00FF5125">
        <w:rPr>
          <w:sz w:val="26"/>
          <w:szCs w:val="26"/>
        </w:rPr>
        <w:lastRenderedPageBreak/>
        <w:t xml:space="preserve">предоставить расчет на водоотведение объекта, выполненный проектной организацией, на согласование в ООО «Феникс». На основании Постановления № 54/14 от 25.10.2018 года «Об установлении тарифов на подключение (технологическое присоединение) к централизованной системе водоотведения общества с ограниченной ответственностью «Феникс» на территории </w:t>
      </w:r>
      <w:proofErr w:type="spellStart"/>
      <w:r w:rsidRPr="00FF5125">
        <w:rPr>
          <w:sz w:val="26"/>
          <w:szCs w:val="26"/>
        </w:rPr>
        <w:t>Арсеньевского</w:t>
      </w:r>
      <w:proofErr w:type="spellEnd"/>
      <w:r w:rsidRPr="00FF5125">
        <w:rPr>
          <w:sz w:val="26"/>
          <w:szCs w:val="26"/>
        </w:rPr>
        <w:t xml:space="preserve"> городского округа Приморского края», утвержденного Департаментом по тарифам Приморского края, устанавливаются и вводятся в действие с 01 января 2019 года по 31 декабря 2019 года следующие тарифы на подключение (технологическое присоединение) к централизованной системе водоотведения общества с ограниченной ответственностью «Феникс» на территории </w:t>
      </w:r>
      <w:proofErr w:type="spellStart"/>
      <w:r w:rsidRPr="00FF5125">
        <w:rPr>
          <w:sz w:val="26"/>
          <w:szCs w:val="26"/>
        </w:rPr>
        <w:t>Арсеньевского</w:t>
      </w:r>
      <w:proofErr w:type="spellEnd"/>
      <w:r w:rsidRPr="00FF5125">
        <w:rPr>
          <w:sz w:val="26"/>
          <w:szCs w:val="26"/>
        </w:rPr>
        <w:t xml:space="preserve"> городского округа Приморского края:</w:t>
      </w:r>
    </w:p>
    <w:p w:rsidR="0040562C" w:rsidRPr="00FF5125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1. Ставка тарифа за подключаемую (технологически присоединяемую) нагрузку – 0,281 тыс. руб./куб. м в сутки;</w:t>
      </w:r>
    </w:p>
    <w:p w:rsidR="0040562C" w:rsidRPr="00FF5125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2.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систем:</w:t>
      </w:r>
    </w:p>
    <w:p w:rsidR="0040562C" w:rsidRPr="00FF5125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2.1. При открытом способе прокладки сетей диаметром до 160 мм (включительно) – 3341,86 тыс. руб./км</w:t>
      </w:r>
    </w:p>
    <w:p w:rsidR="0040562C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2.2. При прокладке сетей в стальном футляре диаметром до 160 мм (включительно) – 4663,28 тыс. руб./км. </w:t>
      </w:r>
    </w:p>
    <w:p w:rsidR="0040562C" w:rsidRPr="00FF5125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При отсутствии возможности присоединения объекта к централизованной системе водоотведения необходимо устройство водонепроницаемого выгреба. </w:t>
      </w:r>
    </w:p>
    <w:p w:rsidR="0040562C" w:rsidRPr="00FF5125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Срок действия условий подключения 3 года.</w:t>
      </w:r>
    </w:p>
    <w:p w:rsidR="0040562C" w:rsidRPr="00FF5125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Для канализирования объекта необходимо выполнить следующее:</w:t>
      </w:r>
    </w:p>
    <w:p w:rsidR="0040562C" w:rsidRPr="00FF5125" w:rsidRDefault="0040562C" w:rsidP="0040562C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FF5125">
        <w:rPr>
          <w:sz w:val="26"/>
          <w:szCs w:val="26"/>
        </w:rPr>
        <w:t xml:space="preserve"> связи с отсутствием в данном районе централизованной системы </w:t>
      </w:r>
      <w:r>
        <w:rPr>
          <w:sz w:val="26"/>
          <w:szCs w:val="26"/>
        </w:rPr>
        <w:t>водоотведения</w:t>
      </w:r>
      <w:r w:rsidRPr="00FF5125">
        <w:rPr>
          <w:sz w:val="26"/>
          <w:szCs w:val="26"/>
        </w:rPr>
        <w:t>, учитывая незначительное водопотребление, рекомендуется устройство водо</w:t>
      </w:r>
      <w:r>
        <w:rPr>
          <w:sz w:val="26"/>
          <w:szCs w:val="26"/>
        </w:rPr>
        <w:t>не</w:t>
      </w:r>
      <w:r w:rsidRPr="00FF5125">
        <w:rPr>
          <w:sz w:val="26"/>
          <w:szCs w:val="26"/>
        </w:rPr>
        <w:t>проницаемого выгреба с последующим выгребом жидких отходов. Заключит</w:t>
      </w:r>
      <w:r>
        <w:rPr>
          <w:sz w:val="26"/>
          <w:szCs w:val="26"/>
        </w:rPr>
        <w:t>ь</w:t>
      </w:r>
      <w:r w:rsidRPr="00FF5125">
        <w:rPr>
          <w:sz w:val="26"/>
          <w:szCs w:val="26"/>
        </w:rPr>
        <w:t xml:space="preserve"> договор на вывоз накопленных сточных вод.</w:t>
      </w:r>
    </w:p>
    <w:p w:rsidR="00D3461D" w:rsidRPr="0040562C" w:rsidRDefault="00D3461D" w:rsidP="0040562C">
      <w:bookmarkStart w:id="0" w:name="_GoBack"/>
      <w:bookmarkEnd w:id="0"/>
    </w:p>
    <w:sectPr w:rsidR="00D3461D" w:rsidRPr="0040562C" w:rsidSect="00D3461D"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72"/>
    <w:rsid w:val="00006E99"/>
    <w:rsid w:val="000B667A"/>
    <w:rsid w:val="0023397C"/>
    <w:rsid w:val="00275F36"/>
    <w:rsid w:val="00391CBA"/>
    <w:rsid w:val="003A530E"/>
    <w:rsid w:val="0040562C"/>
    <w:rsid w:val="004F2965"/>
    <w:rsid w:val="005A266C"/>
    <w:rsid w:val="006625C1"/>
    <w:rsid w:val="008D037D"/>
    <w:rsid w:val="0094411D"/>
    <w:rsid w:val="00977EB6"/>
    <w:rsid w:val="00AC044B"/>
    <w:rsid w:val="00B122C3"/>
    <w:rsid w:val="00B317A8"/>
    <w:rsid w:val="00CD3668"/>
    <w:rsid w:val="00D3461D"/>
    <w:rsid w:val="00D47F72"/>
    <w:rsid w:val="00DE3771"/>
    <w:rsid w:val="00EB7055"/>
    <w:rsid w:val="00F52718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77B92-51EE-4B45-B59C-FB85C6C8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Обычный/цC"/>
    <w:rsid w:val="004056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16</cp:revision>
  <dcterms:created xsi:type="dcterms:W3CDTF">2016-07-26T08:41:00Z</dcterms:created>
  <dcterms:modified xsi:type="dcterms:W3CDTF">2019-11-18T22:55:00Z</dcterms:modified>
</cp:coreProperties>
</file>