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14DF" w14:textId="77777777" w:rsidR="00A3120A" w:rsidRPr="00484271" w:rsidRDefault="00A3120A" w:rsidP="00A3120A">
      <w:pPr>
        <w:ind w:firstLine="709"/>
        <w:jc w:val="both"/>
        <w:rPr>
          <w:b/>
          <w:sz w:val="26"/>
          <w:szCs w:val="26"/>
        </w:rPr>
      </w:pPr>
      <w:r w:rsidRPr="00484271">
        <w:rPr>
          <w:b/>
          <w:sz w:val="26"/>
          <w:szCs w:val="26"/>
        </w:rPr>
        <w:t>Технические условия подключения объекта к сетям инженерно-технического обеспечения и плата за подключение.</w:t>
      </w:r>
    </w:p>
    <w:p w14:paraId="6B84840E" w14:textId="77777777" w:rsidR="00A3120A" w:rsidRPr="00484271" w:rsidRDefault="00A3120A" w:rsidP="00A3120A">
      <w:pPr>
        <w:ind w:firstLine="570"/>
        <w:jc w:val="both"/>
        <w:rPr>
          <w:sz w:val="26"/>
          <w:szCs w:val="26"/>
        </w:rPr>
      </w:pPr>
      <w:r w:rsidRPr="00484271">
        <w:rPr>
          <w:sz w:val="26"/>
          <w:szCs w:val="26"/>
        </w:rPr>
        <w:t>1</w:t>
      </w:r>
      <w:r w:rsidRPr="00E47A40">
        <w:rPr>
          <w:sz w:val="26"/>
          <w:szCs w:val="26"/>
        </w:rPr>
        <w:t xml:space="preserve">. </w:t>
      </w:r>
      <w:r w:rsidRPr="00E47A40">
        <w:rPr>
          <w:b/>
          <w:bCs/>
          <w:sz w:val="26"/>
          <w:szCs w:val="26"/>
        </w:rPr>
        <w:t>Электрические сети:</w:t>
      </w:r>
      <w:r w:rsidRPr="00E47A40">
        <w:rPr>
          <w:sz w:val="26"/>
          <w:szCs w:val="26"/>
        </w:rPr>
        <w:t xml:space="preserve"> </w:t>
      </w:r>
      <w:r>
        <w:rPr>
          <w:sz w:val="26"/>
          <w:szCs w:val="26"/>
        </w:rPr>
        <w:t>т</w:t>
      </w:r>
      <w:r w:rsidRPr="00484271">
        <w:rPr>
          <w:sz w:val="26"/>
          <w:szCs w:val="26"/>
        </w:rPr>
        <w:t xml:space="preserve">ехническая возможность подключения к электрическим сетям </w:t>
      </w:r>
      <w:r>
        <w:rPr>
          <w:sz w:val="26"/>
          <w:szCs w:val="26"/>
        </w:rPr>
        <w:t>планируемого многоквартирного дома мощностью 260 кВт, на уровне напряжения 0,4 кВ, по 2 категории надежности, имеется при условии выполнения реконструкции действующей трансформаторной подстанции и выполнения заявителем всех необходимых технических и организационных мероприятий</w:t>
      </w:r>
      <w:r w:rsidRPr="00484271">
        <w:rPr>
          <w:sz w:val="26"/>
          <w:szCs w:val="26"/>
        </w:rPr>
        <w:t>. Плата за подключение</w:t>
      </w:r>
      <w:r>
        <w:rPr>
          <w:sz w:val="26"/>
          <w:szCs w:val="26"/>
        </w:rPr>
        <w:t xml:space="preserve"> будет определяться в соответствии с постановлением агентства по тарифам Приморского края</w:t>
      </w:r>
      <w:r w:rsidRPr="00484271">
        <w:rPr>
          <w:sz w:val="26"/>
          <w:szCs w:val="26"/>
        </w:rPr>
        <w:t>.</w:t>
      </w:r>
    </w:p>
    <w:p w14:paraId="55CAF8A5" w14:textId="77777777" w:rsidR="00A3120A" w:rsidRPr="00E3768A" w:rsidRDefault="00A3120A" w:rsidP="00A3120A">
      <w:pPr>
        <w:ind w:firstLine="709"/>
        <w:jc w:val="both"/>
        <w:rPr>
          <w:sz w:val="26"/>
          <w:szCs w:val="26"/>
        </w:rPr>
      </w:pPr>
      <w:r w:rsidRPr="00FD5DEF">
        <w:rPr>
          <w:sz w:val="26"/>
          <w:szCs w:val="26"/>
        </w:rPr>
        <w:t xml:space="preserve">2. </w:t>
      </w:r>
      <w:r w:rsidRPr="00FD5DEF">
        <w:rPr>
          <w:b/>
          <w:bCs/>
          <w:sz w:val="26"/>
          <w:szCs w:val="26"/>
        </w:rPr>
        <w:t>Теплоснабжение:</w:t>
      </w:r>
      <w:r w:rsidRPr="00E24283">
        <w:rPr>
          <w:color w:val="FF0000"/>
          <w:sz w:val="26"/>
          <w:szCs w:val="26"/>
        </w:rPr>
        <w:t xml:space="preserve"> </w:t>
      </w:r>
      <w:r w:rsidRPr="00E3768A">
        <w:rPr>
          <w:sz w:val="26"/>
          <w:szCs w:val="26"/>
        </w:rPr>
        <w:t xml:space="preserve">Техническая возможность </w:t>
      </w:r>
      <w:r>
        <w:rPr>
          <w:sz w:val="26"/>
          <w:szCs w:val="26"/>
        </w:rPr>
        <w:t>подключения</w:t>
      </w:r>
      <w:r w:rsidRPr="00E3768A">
        <w:rPr>
          <w:sz w:val="26"/>
          <w:szCs w:val="26"/>
        </w:rPr>
        <w:t xml:space="preserve"> к </w:t>
      </w:r>
      <w:r>
        <w:rPr>
          <w:sz w:val="26"/>
          <w:szCs w:val="26"/>
        </w:rPr>
        <w:t>системам</w:t>
      </w:r>
      <w:r w:rsidRPr="00E3768A">
        <w:rPr>
          <w:sz w:val="26"/>
          <w:szCs w:val="26"/>
        </w:rPr>
        <w:t xml:space="preserve"> </w:t>
      </w:r>
      <w:r>
        <w:rPr>
          <w:sz w:val="26"/>
          <w:szCs w:val="26"/>
        </w:rPr>
        <w:t>теплоснабжения</w:t>
      </w:r>
      <w:r w:rsidRPr="00E3768A">
        <w:rPr>
          <w:sz w:val="26"/>
          <w:szCs w:val="26"/>
        </w:rPr>
        <w:t xml:space="preserve"> отсутствует, так как </w:t>
      </w:r>
      <w:r>
        <w:rPr>
          <w:sz w:val="26"/>
          <w:szCs w:val="26"/>
        </w:rPr>
        <w:t xml:space="preserve">пропускной способности участков существующих магистральных тепловых сетей недостаточно для подключения объекта капитального строительства многоквартирного дома. При разработке проектных решений возможно предусмотреть альтернативный источник тепловой энергии, либо подать заявку на заключение договора о подключении к сетям теплоснабжения в соответствии с п. 25 и п. 26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05.07.2018 № 787. Договор о подключении может быть заключен по индивидуальному тарифу, стоимость подключения может быть определена при установлении тарифа на подключение агентством по тарифам Приморского края. </w:t>
      </w:r>
    </w:p>
    <w:p w14:paraId="66B1B538"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3. </w:t>
      </w:r>
      <w:r w:rsidRPr="008F4600">
        <w:rPr>
          <w:b/>
          <w:bCs/>
          <w:sz w:val="26"/>
          <w:szCs w:val="26"/>
        </w:rPr>
        <w:t>Водоснабжение:</w:t>
      </w:r>
      <w:r w:rsidRPr="008F4600">
        <w:rPr>
          <w:sz w:val="26"/>
          <w:szCs w:val="26"/>
        </w:rPr>
        <w:t xml:space="preserve"> техническое условие подключения к системе водоснабжения имеется:</w:t>
      </w:r>
    </w:p>
    <w:p w14:paraId="4A821908"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 Объем водоснабжения 67,56 м³/сут.</w:t>
      </w:r>
    </w:p>
    <w:p w14:paraId="7C073320"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2. Подключение объектов к системе водоснабжения выполнить от существующего водопровода диметром 200 мм (чугун) по ул. Садовая в проектируемом водопроводном колодце ВК-1 с установкой запорной арматуры в месте врезки. </w:t>
      </w:r>
    </w:p>
    <w:p w14:paraId="3B41500E"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3. Свободный гарантированный напор в заданной точке подключения – 40 м.</w:t>
      </w:r>
    </w:p>
    <w:p w14:paraId="53A9059F"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4. Глубина заложения трубы в точке предполагаемого подключения – 2,0 м. Водопроводную сеть выполнить из труб по ГОСТ 10704-91, или ГОСТ 18599-2001, ГОСТ Р 52134-2003, ГОСТ Р 52318-2005, ГОСТ Р 53630-2009. Диаметр трубопровода принять по расчету.</w:t>
      </w:r>
    </w:p>
    <w:p w14:paraId="16498B1E"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5. Наружное пожаротушение предусмотреть от ПГ-252, расположенного в ВК-2 по ул. Садовая, 16.</w:t>
      </w:r>
    </w:p>
    <w:p w14:paraId="1E6AB606"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6. Информация о плате за подключение:</w:t>
      </w:r>
    </w:p>
    <w:p w14:paraId="7ED5B986"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Размер платы за подключение к системе холодного водоснабжения будет определен по действующему тарифу на стадии заключения договора на технологическое присоединение в соответствии с Федеральным законом от 07.12.2011 № 416-ФЗ «О водоснабжении и водоотведении»;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Постановлением Правительства РФ от 29.07.2013 № 645 «Об утверждении типовых договоров в области холодного водоснабжения и водоотведения».</w:t>
      </w:r>
    </w:p>
    <w:p w14:paraId="683B5678"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Ставки тарифа на подключение (технологическое) присоединение к централизованной системе холодного водоснабжения утверждены Постановлением от 05.08.2020 № 35/3 агентством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«Кристалл» на территории Арсеньевского городского округа Приморского края», устанавливаются и вводятся в действие с 01.01.2021 по 31.12.2021: </w:t>
      </w:r>
    </w:p>
    <w:p w14:paraId="47711F1F" w14:textId="77777777" w:rsidR="00A3120A" w:rsidRPr="008F4600" w:rsidRDefault="00A3120A" w:rsidP="00A3120A">
      <w:pPr>
        <w:pStyle w:val="C"/>
        <w:tabs>
          <w:tab w:val="left" w:pos="0"/>
        </w:tabs>
        <w:suppressAutoHyphen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93"/>
        <w:gridCol w:w="3285"/>
      </w:tblGrid>
      <w:tr w:rsidR="00A3120A" w:rsidRPr="008F4600" w14:paraId="09DA12E3" w14:textId="77777777" w:rsidTr="000A0F14">
        <w:tc>
          <w:tcPr>
            <w:tcW w:w="675" w:type="dxa"/>
            <w:shd w:val="clear" w:color="auto" w:fill="auto"/>
          </w:tcPr>
          <w:p w14:paraId="59C3C6D2" w14:textId="77777777" w:rsidR="00A3120A" w:rsidRPr="008F4600" w:rsidRDefault="00A3120A" w:rsidP="000A0F14">
            <w:pPr>
              <w:pStyle w:val="C"/>
              <w:tabs>
                <w:tab w:val="left" w:pos="0"/>
              </w:tabs>
              <w:suppressAutoHyphens/>
              <w:jc w:val="both"/>
              <w:rPr>
                <w:sz w:val="26"/>
                <w:szCs w:val="26"/>
              </w:rPr>
            </w:pPr>
            <w:r w:rsidRPr="008F4600">
              <w:rPr>
                <w:sz w:val="26"/>
                <w:szCs w:val="26"/>
              </w:rPr>
              <w:t>№ п/п</w:t>
            </w:r>
          </w:p>
        </w:tc>
        <w:tc>
          <w:tcPr>
            <w:tcW w:w="5893" w:type="dxa"/>
            <w:shd w:val="clear" w:color="auto" w:fill="auto"/>
          </w:tcPr>
          <w:p w14:paraId="46AF48F8" w14:textId="77777777" w:rsidR="00A3120A" w:rsidRPr="008F4600" w:rsidRDefault="00A3120A" w:rsidP="000A0F14">
            <w:pPr>
              <w:pStyle w:val="C"/>
              <w:tabs>
                <w:tab w:val="left" w:pos="0"/>
              </w:tabs>
              <w:suppressAutoHyphens/>
              <w:jc w:val="center"/>
              <w:rPr>
                <w:sz w:val="26"/>
                <w:szCs w:val="26"/>
              </w:rPr>
            </w:pPr>
            <w:r w:rsidRPr="008F4600">
              <w:rPr>
                <w:sz w:val="26"/>
                <w:szCs w:val="26"/>
              </w:rPr>
              <w:t>Наименование</w:t>
            </w:r>
          </w:p>
        </w:tc>
        <w:tc>
          <w:tcPr>
            <w:tcW w:w="3285" w:type="dxa"/>
            <w:shd w:val="clear" w:color="auto" w:fill="auto"/>
          </w:tcPr>
          <w:p w14:paraId="4D8F3466" w14:textId="77777777" w:rsidR="00A3120A" w:rsidRPr="008F4600" w:rsidRDefault="00A3120A" w:rsidP="000A0F14">
            <w:pPr>
              <w:pStyle w:val="C"/>
              <w:tabs>
                <w:tab w:val="left" w:pos="0"/>
              </w:tabs>
              <w:suppressAutoHyphens/>
              <w:rPr>
                <w:sz w:val="26"/>
                <w:szCs w:val="26"/>
              </w:rPr>
            </w:pPr>
            <w:r w:rsidRPr="008F4600">
              <w:rPr>
                <w:sz w:val="26"/>
                <w:szCs w:val="26"/>
              </w:rPr>
              <w:t xml:space="preserve">Тарифы на подключение (технологическое присоединение) к </w:t>
            </w:r>
            <w:r w:rsidRPr="008F4600">
              <w:rPr>
                <w:sz w:val="26"/>
                <w:szCs w:val="26"/>
              </w:rPr>
              <w:lastRenderedPageBreak/>
              <w:t>централизованной системе холодного водоснабжения</w:t>
            </w:r>
          </w:p>
        </w:tc>
      </w:tr>
      <w:tr w:rsidR="00A3120A" w:rsidRPr="008F4600" w14:paraId="4FC0ADB2" w14:textId="77777777" w:rsidTr="000A0F14">
        <w:tc>
          <w:tcPr>
            <w:tcW w:w="675" w:type="dxa"/>
            <w:shd w:val="clear" w:color="auto" w:fill="auto"/>
          </w:tcPr>
          <w:p w14:paraId="0E133C2D" w14:textId="77777777" w:rsidR="00A3120A" w:rsidRPr="008F4600" w:rsidRDefault="00A3120A" w:rsidP="000A0F14">
            <w:pPr>
              <w:pStyle w:val="C"/>
              <w:tabs>
                <w:tab w:val="left" w:pos="0"/>
              </w:tabs>
              <w:suppressAutoHyphens/>
              <w:jc w:val="both"/>
              <w:rPr>
                <w:sz w:val="26"/>
                <w:szCs w:val="26"/>
              </w:rPr>
            </w:pPr>
            <w:r w:rsidRPr="008F4600">
              <w:rPr>
                <w:sz w:val="26"/>
                <w:szCs w:val="26"/>
              </w:rPr>
              <w:lastRenderedPageBreak/>
              <w:t>1</w:t>
            </w:r>
          </w:p>
        </w:tc>
        <w:tc>
          <w:tcPr>
            <w:tcW w:w="5893" w:type="dxa"/>
            <w:shd w:val="clear" w:color="auto" w:fill="auto"/>
          </w:tcPr>
          <w:p w14:paraId="12F8362F" w14:textId="77777777" w:rsidR="00A3120A" w:rsidRPr="008F4600" w:rsidRDefault="00A3120A" w:rsidP="000A0F14">
            <w:pPr>
              <w:pStyle w:val="C"/>
              <w:tabs>
                <w:tab w:val="left" w:pos="0"/>
              </w:tabs>
              <w:suppressAutoHyphens/>
              <w:jc w:val="both"/>
              <w:rPr>
                <w:sz w:val="26"/>
                <w:szCs w:val="26"/>
              </w:rPr>
            </w:pPr>
            <w:r w:rsidRPr="008F4600">
              <w:rPr>
                <w:sz w:val="26"/>
                <w:szCs w:val="26"/>
              </w:rPr>
              <w:t>Ставка тарифа за подключаемую (технологически присоединяемую) нагрузку, тыс.руб./м в сутки</w:t>
            </w:r>
          </w:p>
        </w:tc>
        <w:tc>
          <w:tcPr>
            <w:tcW w:w="3285" w:type="dxa"/>
            <w:shd w:val="clear" w:color="auto" w:fill="auto"/>
          </w:tcPr>
          <w:p w14:paraId="57436684" w14:textId="77777777" w:rsidR="00A3120A" w:rsidRPr="008F4600" w:rsidRDefault="00A3120A" w:rsidP="000A0F14">
            <w:pPr>
              <w:pStyle w:val="C"/>
              <w:tabs>
                <w:tab w:val="left" w:pos="0"/>
              </w:tabs>
              <w:suppressAutoHyphens/>
              <w:jc w:val="both"/>
              <w:rPr>
                <w:sz w:val="26"/>
                <w:szCs w:val="26"/>
              </w:rPr>
            </w:pPr>
            <w:r w:rsidRPr="008F4600">
              <w:rPr>
                <w:sz w:val="26"/>
                <w:szCs w:val="26"/>
              </w:rPr>
              <w:t>3,610</w:t>
            </w:r>
          </w:p>
        </w:tc>
      </w:tr>
      <w:tr w:rsidR="00A3120A" w:rsidRPr="008F4600" w14:paraId="7A3F7CE2" w14:textId="77777777" w:rsidTr="000A0F14">
        <w:tc>
          <w:tcPr>
            <w:tcW w:w="675" w:type="dxa"/>
            <w:shd w:val="clear" w:color="auto" w:fill="auto"/>
          </w:tcPr>
          <w:p w14:paraId="2DD4540A" w14:textId="77777777" w:rsidR="00A3120A" w:rsidRPr="008F4600" w:rsidRDefault="00A3120A" w:rsidP="000A0F14">
            <w:pPr>
              <w:pStyle w:val="C"/>
              <w:tabs>
                <w:tab w:val="left" w:pos="0"/>
              </w:tabs>
              <w:suppressAutoHyphens/>
              <w:jc w:val="both"/>
              <w:rPr>
                <w:sz w:val="26"/>
                <w:szCs w:val="26"/>
              </w:rPr>
            </w:pPr>
            <w:r w:rsidRPr="008F4600">
              <w:rPr>
                <w:sz w:val="26"/>
                <w:szCs w:val="26"/>
              </w:rPr>
              <w:t>2</w:t>
            </w:r>
          </w:p>
        </w:tc>
        <w:tc>
          <w:tcPr>
            <w:tcW w:w="9178" w:type="dxa"/>
            <w:gridSpan w:val="2"/>
            <w:shd w:val="clear" w:color="auto" w:fill="auto"/>
          </w:tcPr>
          <w:p w14:paraId="45A8DD52" w14:textId="77777777" w:rsidR="00A3120A" w:rsidRPr="008F4600" w:rsidRDefault="00A3120A" w:rsidP="000A0F14">
            <w:pPr>
              <w:pStyle w:val="C"/>
              <w:tabs>
                <w:tab w:val="left" w:pos="0"/>
              </w:tabs>
              <w:suppressAutoHyphens/>
              <w:jc w:val="both"/>
              <w:rPr>
                <w:sz w:val="26"/>
                <w:szCs w:val="26"/>
              </w:rPr>
            </w:pPr>
            <w:r w:rsidRPr="008F4600">
              <w:rPr>
                <w:sz w:val="26"/>
                <w:szCs w:val="26"/>
              </w:rPr>
              <w:t>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 диаметром до 100 мм (включительно), тыс.руб./км</w:t>
            </w:r>
          </w:p>
        </w:tc>
      </w:tr>
      <w:tr w:rsidR="00A3120A" w:rsidRPr="008F4600" w14:paraId="7C109DF8" w14:textId="77777777" w:rsidTr="000A0F14">
        <w:tc>
          <w:tcPr>
            <w:tcW w:w="675" w:type="dxa"/>
            <w:shd w:val="clear" w:color="auto" w:fill="auto"/>
          </w:tcPr>
          <w:p w14:paraId="70A6F218" w14:textId="77777777" w:rsidR="00A3120A" w:rsidRPr="008F4600" w:rsidRDefault="00A3120A" w:rsidP="000A0F14">
            <w:pPr>
              <w:pStyle w:val="C"/>
              <w:tabs>
                <w:tab w:val="left" w:pos="0"/>
              </w:tabs>
              <w:suppressAutoHyphens/>
              <w:jc w:val="both"/>
              <w:rPr>
                <w:sz w:val="26"/>
                <w:szCs w:val="26"/>
              </w:rPr>
            </w:pPr>
            <w:r w:rsidRPr="008F4600">
              <w:rPr>
                <w:sz w:val="26"/>
                <w:szCs w:val="26"/>
              </w:rPr>
              <w:t>2.1</w:t>
            </w:r>
          </w:p>
        </w:tc>
        <w:tc>
          <w:tcPr>
            <w:tcW w:w="5893" w:type="dxa"/>
            <w:shd w:val="clear" w:color="auto" w:fill="auto"/>
          </w:tcPr>
          <w:p w14:paraId="4FA276A2" w14:textId="77777777" w:rsidR="00A3120A" w:rsidRPr="008F4600" w:rsidRDefault="00A3120A" w:rsidP="000A0F14">
            <w:pPr>
              <w:pStyle w:val="C"/>
              <w:tabs>
                <w:tab w:val="left" w:pos="0"/>
              </w:tabs>
              <w:suppressAutoHyphens/>
              <w:jc w:val="both"/>
              <w:rPr>
                <w:sz w:val="26"/>
                <w:szCs w:val="26"/>
              </w:rPr>
            </w:pPr>
            <w:r w:rsidRPr="008F4600">
              <w:rPr>
                <w:sz w:val="26"/>
                <w:szCs w:val="26"/>
              </w:rPr>
              <w:t>При открытом способе прокладки сетей</w:t>
            </w:r>
          </w:p>
        </w:tc>
        <w:tc>
          <w:tcPr>
            <w:tcW w:w="3285" w:type="dxa"/>
            <w:shd w:val="clear" w:color="auto" w:fill="auto"/>
          </w:tcPr>
          <w:p w14:paraId="26ADFEB1" w14:textId="77777777" w:rsidR="00A3120A" w:rsidRPr="008F4600" w:rsidRDefault="00A3120A" w:rsidP="000A0F14">
            <w:pPr>
              <w:pStyle w:val="C"/>
              <w:tabs>
                <w:tab w:val="left" w:pos="0"/>
              </w:tabs>
              <w:suppressAutoHyphens/>
              <w:jc w:val="both"/>
              <w:rPr>
                <w:sz w:val="26"/>
                <w:szCs w:val="26"/>
              </w:rPr>
            </w:pPr>
            <w:r w:rsidRPr="008F4600">
              <w:rPr>
                <w:sz w:val="26"/>
                <w:szCs w:val="26"/>
              </w:rPr>
              <w:t>3 659,37</w:t>
            </w:r>
          </w:p>
        </w:tc>
      </w:tr>
      <w:tr w:rsidR="00A3120A" w:rsidRPr="008F4600" w14:paraId="6F0F24C2" w14:textId="77777777" w:rsidTr="000A0F14">
        <w:tc>
          <w:tcPr>
            <w:tcW w:w="675" w:type="dxa"/>
            <w:shd w:val="clear" w:color="auto" w:fill="auto"/>
          </w:tcPr>
          <w:p w14:paraId="248932D9" w14:textId="77777777" w:rsidR="00A3120A" w:rsidRPr="008F4600" w:rsidRDefault="00A3120A" w:rsidP="000A0F14">
            <w:pPr>
              <w:pStyle w:val="C"/>
              <w:tabs>
                <w:tab w:val="left" w:pos="0"/>
              </w:tabs>
              <w:suppressAutoHyphens/>
              <w:jc w:val="both"/>
              <w:rPr>
                <w:sz w:val="26"/>
                <w:szCs w:val="26"/>
              </w:rPr>
            </w:pPr>
            <w:r w:rsidRPr="008F4600">
              <w:rPr>
                <w:sz w:val="26"/>
                <w:szCs w:val="26"/>
              </w:rPr>
              <w:t>2.2</w:t>
            </w:r>
          </w:p>
        </w:tc>
        <w:tc>
          <w:tcPr>
            <w:tcW w:w="5893" w:type="dxa"/>
            <w:shd w:val="clear" w:color="auto" w:fill="auto"/>
          </w:tcPr>
          <w:p w14:paraId="3E707D22" w14:textId="77777777" w:rsidR="00A3120A" w:rsidRPr="008F4600" w:rsidRDefault="00A3120A" w:rsidP="000A0F14">
            <w:pPr>
              <w:pStyle w:val="C"/>
              <w:tabs>
                <w:tab w:val="left" w:pos="0"/>
              </w:tabs>
              <w:suppressAutoHyphens/>
              <w:jc w:val="both"/>
              <w:rPr>
                <w:sz w:val="26"/>
                <w:szCs w:val="26"/>
              </w:rPr>
            </w:pPr>
            <w:r w:rsidRPr="008F4600">
              <w:rPr>
                <w:sz w:val="26"/>
                <w:szCs w:val="26"/>
              </w:rPr>
              <w:t>При прокладке сетей в стальном футляре</w:t>
            </w:r>
          </w:p>
        </w:tc>
        <w:tc>
          <w:tcPr>
            <w:tcW w:w="3285" w:type="dxa"/>
            <w:shd w:val="clear" w:color="auto" w:fill="auto"/>
          </w:tcPr>
          <w:p w14:paraId="7C7D5412" w14:textId="77777777" w:rsidR="00A3120A" w:rsidRPr="008F4600" w:rsidRDefault="00A3120A" w:rsidP="000A0F14">
            <w:pPr>
              <w:pStyle w:val="C"/>
              <w:tabs>
                <w:tab w:val="left" w:pos="0"/>
              </w:tabs>
              <w:suppressAutoHyphens/>
              <w:jc w:val="both"/>
              <w:rPr>
                <w:sz w:val="26"/>
                <w:szCs w:val="26"/>
              </w:rPr>
            </w:pPr>
            <w:r w:rsidRPr="008F4600">
              <w:rPr>
                <w:sz w:val="26"/>
                <w:szCs w:val="26"/>
              </w:rPr>
              <w:t>5 111,64</w:t>
            </w:r>
          </w:p>
        </w:tc>
      </w:tr>
      <w:tr w:rsidR="00A3120A" w:rsidRPr="008F4600" w14:paraId="2C4F4380" w14:textId="77777777" w:rsidTr="000A0F14">
        <w:tc>
          <w:tcPr>
            <w:tcW w:w="675" w:type="dxa"/>
            <w:shd w:val="clear" w:color="auto" w:fill="auto"/>
          </w:tcPr>
          <w:p w14:paraId="330207CF" w14:textId="77777777" w:rsidR="00A3120A" w:rsidRPr="008F4600" w:rsidRDefault="00A3120A" w:rsidP="000A0F14">
            <w:pPr>
              <w:pStyle w:val="C"/>
              <w:tabs>
                <w:tab w:val="left" w:pos="0"/>
              </w:tabs>
              <w:suppressAutoHyphens/>
              <w:jc w:val="both"/>
              <w:rPr>
                <w:sz w:val="26"/>
                <w:szCs w:val="26"/>
              </w:rPr>
            </w:pPr>
            <w:r w:rsidRPr="008F4600">
              <w:rPr>
                <w:sz w:val="26"/>
                <w:szCs w:val="26"/>
              </w:rPr>
              <w:t>2.3</w:t>
            </w:r>
          </w:p>
        </w:tc>
        <w:tc>
          <w:tcPr>
            <w:tcW w:w="5893" w:type="dxa"/>
            <w:shd w:val="clear" w:color="auto" w:fill="auto"/>
          </w:tcPr>
          <w:p w14:paraId="6FF2683D" w14:textId="77777777" w:rsidR="00A3120A" w:rsidRPr="008F4600" w:rsidRDefault="00A3120A" w:rsidP="000A0F14">
            <w:pPr>
              <w:pStyle w:val="C"/>
              <w:tabs>
                <w:tab w:val="left" w:pos="0"/>
              </w:tabs>
              <w:suppressAutoHyphens/>
              <w:jc w:val="both"/>
              <w:rPr>
                <w:sz w:val="26"/>
                <w:szCs w:val="26"/>
              </w:rPr>
            </w:pPr>
            <w:r w:rsidRPr="008F4600">
              <w:rPr>
                <w:sz w:val="26"/>
                <w:szCs w:val="26"/>
              </w:rPr>
              <w:t>При открытом способе прокладки сетей с учетом восстановления покрытия дорог</w:t>
            </w:r>
          </w:p>
        </w:tc>
        <w:tc>
          <w:tcPr>
            <w:tcW w:w="3285" w:type="dxa"/>
            <w:shd w:val="clear" w:color="auto" w:fill="auto"/>
          </w:tcPr>
          <w:p w14:paraId="4195D669" w14:textId="77777777" w:rsidR="00A3120A" w:rsidRPr="008F4600" w:rsidRDefault="00A3120A" w:rsidP="000A0F14">
            <w:pPr>
              <w:pStyle w:val="C"/>
              <w:tabs>
                <w:tab w:val="left" w:pos="0"/>
              </w:tabs>
              <w:suppressAutoHyphens/>
              <w:jc w:val="both"/>
              <w:rPr>
                <w:sz w:val="26"/>
                <w:szCs w:val="26"/>
              </w:rPr>
            </w:pPr>
            <w:r w:rsidRPr="008F4600">
              <w:rPr>
                <w:sz w:val="26"/>
                <w:szCs w:val="26"/>
              </w:rPr>
              <w:t>5 475,12</w:t>
            </w:r>
          </w:p>
        </w:tc>
      </w:tr>
    </w:tbl>
    <w:p w14:paraId="77DD58AB"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7. Точка присоединения при заключении договора о подключении устанавливается на границе земельного участка.</w:t>
      </w:r>
    </w:p>
    <w:p w14:paraId="019F89CB"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8. До начала производства работ, в соответствии в выданными условиями подключения заказчику необходимо разработать проект и согласовать его с ООО «Кристалл». Один экземпляр проекта передать в ПТО ООО «Кристалл».</w:t>
      </w:r>
    </w:p>
    <w:p w14:paraId="6075D2FD"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9. Работы по присоединению к системе водоснабжения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водоснабжения. Перед проведением работ по присоединению к системе водоснабжения в охранной зоне инженерных сетей, предоставить эксплуатирующей организации, акты освидетельствования скрытых работ, согласно СП 48.13330.2019, на смонтированную водопроводную сеть, согласованные с администрацией Арсеньевского городского округа.</w:t>
      </w:r>
    </w:p>
    <w:p w14:paraId="232C0E21"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10. Срок подключения объекта – 18 месяцев с даты заключения договоров о технологическом присоединении к системе водоснабжения (если более поздний срок подключения не будет указан заявителем).</w:t>
      </w:r>
    </w:p>
    <w:p w14:paraId="6C26BB3D"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11. Срок действия технических условий: 3 года с даты выдачи.</w:t>
      </w:r>
    </w:p>
    <w:p w14:paraId="24E9F64B"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12. Объем (ресурс) водоснабжения объекта при получении условий подключения и после его подключения к системам водоснабжения не должен превышать указанный объем нагрузок, в противном случае подача ресурса будет ограничена до получения заказчиком условий подключения на дополнительный объем водоснабжения.</w:t>
      </w:r>
    </w:p>
    <w:p w14:paraId="3E9A5AB6"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13. Обязательства ООО «Кристалл» по обеспечению подключения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инженерно-технического обеспечения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14:paraId="4296CC30"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14. После технологического присоединения заказчику необходимо заключить с ООО «Кристалл» договор на водоснабжение в течении 5 (пяти) дней с оформлением акта разграничения балансовой и эксплуатационной ответственности сторон. </w:t>
      </w:r>
    </w:p>
    <w:p w14:paraId="2E241FA3"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4. </w:t>
      </w:r>
      <w:r w:rsidRPr="008F4600">
        <w:rPr>
          <w:b/>
          <w:bCs/>
          <w:sz w:val="26"/>
          <w:szCs w:val="26"/>
        </w:rPr>
        <w:t>Канализация:</w:t>
      </w:r>
      <w:r w:rsidRPr="008F4600">
        <w:rPr>
          <w:sz w:val="26"/>
          <w:szCs w:val="26"/>
        </w:rPr>
        <w:t xml:space="preserve"> техническое условие подключения к системе водоотведения имеется:</w:t>
      </w:r>
    </w:p>
    <w:p w14:paraId="3ADE6DA8"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 Объем водоотведения: 61,56 м³/сут.</w:t>
      </w:r>
    </w:p>
    <w:p w14:paraId="02219DC7"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2. Подключение объекта к системе водоотведения выполнить от существующей канализации диаметром 250 мм (керамика) по ул. Садовая в проектируемом канализационном колодце КК-1. </w:t>
      </w:r>
    </w:p>
    <w:p w14:paraId="5EAE834E"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3. Выбор материала труб определить при проектировании с учетом состава сточных вод и агрессивным воздействием грунтовых вод и самого грунта.</w:t>
      </w:r>
    </w:p>
    <w:p w14:paraId="67F02106"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4. Отметка лотка трубы в точке предполагаемого подключения – 2,4 м.</w:t>
      </w:r>
    </w:p>
    <w:p w14:paraId="022FE449"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5. Информация о плате за подключение:</w:t>
      </w:r>
    </w:p>
    <w:p w14:paraId="025576BA"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lastRenderedPageBreak/>
        <w:t>Размер платы за подключение к системе холодного водоотведения будет определен по действующему тарифу на стадии заключения договора на технологическое присоединение в соответствии с Федеральным законом от 07.12.2011 № 416-ФЗ «О водоснабжении и водоотведении»;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Постановлением Правительства РФ от 29.07.2013 № 645 «Об утверждении типовых договоров в области холодного водоснабжения и водоотведения».</w:t>
      </w:r>
    </w:p>
    <w:p w14:paraId="23B86583"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Ставки тарифа на подключение (технологическое) присоединение к централизованной системе водоотведения утверждены Постановлением от 05.08.2020 № 35/4 агентством по тарифам Приморского края «Об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«Феникс» на территории Арсеньевского городского округа Приморского края», устанавливаются и вводятся в действие с 01.01.2021 по 31.12.2021: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862"/>
        <w:gridCol w:w="2061"/>
        <w:gridCol w:w="112"/>
        <w:gridCol w:w="2173"/>
      </w:tblGrid>
      <w:tr w:rsidR="00A3120A" w:rsidRPr="008F4600" w14:paraId="41C5140D" w14:textId="77777777" w:rsidTr="000A0F14">
        <w:tc>
          <w:tcPr>
            <w:tcW w:w="645" w:type="dxa"/>
            <w:shd w:val="clear" w:color="auto" w:fill="auto"/>
          </w:tcPr>
          <w:p w14:paraId="741B15F1" w14:textId="77777777" w:rsidR="00A3120A" w:rsidRPr="008F4600" w:rsidRDefault="00A3120A" w:rsidP="000A0F14">
            <w:pPr>
              <w:pStyle w:val="C"/>
              <w:tabs>
                <w:tab w:val="left" w:pos="0"/>
              </w:tabs>
              <w:suppressAutoHyphens/>
              <w:jc w:val="both"/>
              <w:rPr>
                <w:sz w:val="26"/>
                <w:szCs w:val="26"/>
              </w:rPr>
            </w:pPr>
            <w:r w:rsidRPr="008F4600">
              <w:rPr>
                <w:sz w:val="26"/>
                <w:szCs w:val="26"/>
              </w:rPr>
              <w:t>№ п/п</w:t>
            </w:r>
          </w:p>
        </w:tc>
        <w:tc>
          <w:tcPr>
            <w:tcW w:w="4862" w:type="dxa"/>
            <w:shd w:val="clear" w:color="auto" w:fill="auto"/>
          </w:tcPr>
          <w:p w14:paraId="4E25C26D" w14:textId="77777777" w:rsidR="00A3120A" w:rsidRPr="008F4600" w:rsidRDefault="00A3120A" w:rsidP="000A0F14">
            <w:pPr>
              <w:pStyle w:val="C"/>
              <w:tabs>
                <w:tab w:val="left" w:pos="0"/>
              </w:tabs>
              <w:suppressAutoHyphens/>
              <w:jc w:val="center"/>
              <w:rPr>
                <w:sz w:val="26"/>
                <w:szCs w:val="26"/>
              </w:rPr>
            </w:pPr>
            <w:r w:rsidRPr="008F4600">
              <w:rPr>
                <w:sz w:val="26"/>
                <w:szCs w:val="26"/>
              </w:rPr>
              <w:t>Наименование</w:t>
            </w:r>
          </w:p>
        </w:tc>
        <w:tc>
          <w:tcPr>
            <w:tcW w:w="4346" w:type="dxa"/>
            <w:gridSpan w:val="3"/>
            <w:shd w:val="clear" w:color="auto" w:fill="auto"/>
          </w:tcPr>
          <w:p w14:paraId="19A09D73" w14:textId="77777777" w:rsidR="00A3120A" w:rsidRPr="008F4600" w:rsidRDefault="00A3120A" w:rsidP="000A0F14">
            <w:pPr>
              <w:pStyle w:val="C"/>
              <w:tabs>
                <w:tab w:val="left" w:pos="0"/>
              </w:tabs>
              <w:suppressAutoHyphens/>
              <w:rPr>
                <w:sz w:val="26"/>
                <w:szCs w:val="26"/>
              </w:rPr>
            </w:pPr>
            <w:r w:rsidRPr="008F4600">
              <w:rPr>
                <w:sz w:val="26"/>
                <w:szCs w:val="26"/>
              </w:rPr>
              <w:t>Тарифы на подключение (технологическое присоединение) к централизованной системе холодного водоснабжения</w:t>
            </w:r>
          </w:p>
        </w:tc>
      </w:tr>
      <w:tr w:rsidR="00A3120A" w:rsidRPr="008F4600" w14:paraId="10667B9F" w14:textId="77777777" w:rsidTr="000A0F14">
        <w:tc>
          <w:tcPr>
            <w:tcW w:w="645" w:type="dxa"/>
            <w:shd w:val="clear" w:color="auto" w:fill="auto"/>
          </w:tcPr>
          <w:p w14:paraId="409F174E" w14:textId="77777777" w:rsidR="00A3120A" w:rsidRPr="008F4600" w:rsidRDefault="00A3120A" w:rsidP="000A0F14">
            <w:pPr>
              <w:pStyle w:val="C"/>
              <w:tabs>
                <w:tab w:val="left" w:pos="0"/>
              </w:tabs>
              <w:suppressAutoHyphens/>
              <w:jc w:val="both"/>
              <w:rPr>
                <w:sz w:val="26"/>
                <w:szCs w:val="26"/>
              </w:rPr>
            </w:pPr>
          </w:p>
        </w:tc>
        <w:tc>
          <w:tcPr>
            <w:tcW w:w="4862" w:type="dxa"/>
            <w:shd w:val="clear" w:color="auto" w:fill="auto"/>
          </w:tcPr>
          <w:p w14:paraId="324DEA59" w14:textId="77777777" w:rsidR="00A3120A" w:rsidRPr="008F4600" w:rsidRDefault="00A3120A" w:rsidP="000A0F14">
            <w:pPr>
              <w:pStyle w:val="C"/>
              <w:tabs>
                <w:tab w:val="left" w:pos="0"/>
              </w:tabs>
              <w:suppressAutoHyphens/>
              <w:jc w:val="center"/>
              <w:rPr>
                <w:sz w:val="26"/>
                <w:szCs w:val="26"/>
              </w:rPr>
            </w:pPr>
          </w:p>
        </w:tc>
        <w:tc>
          <w:tcPr>
            <w:tcW w:w="2061" w:type="dxa"/>
            <w:shd w:val="clear" w:color="auto" w:fill="auto"/>
          </w:tcPr>
          <w:p w14:paraId="72241818" w14:textId="77777777" w:rsidR="00A3120A" w:rsidRPr="008F4600" w:rsidRDefault="00A3120A" w:rsidP="000A0F14">
            <w:pPr>
              <w:pStyle w:val="C"/>
              <w:tabs>
                <w:tab w:val="left" w:pos="0"/>
              </w:tabs>
              <w:suppressAutoHyphens/>
              <w:rPr>
                <w:sz w:val="26"/>
                <w:szCs w:val="26"/>
              </w:rPr>
            </w:pPr>
            <w:r w:rsidRPr="008F4600">
              <w:rPr>
                <w:sz w:val="26"/>
                <w:szCs w:val="26"/>
              </w:rPr>
              <w:t>Прокладка наружных сетей канализации из полиэтиленовых труб открытым способом</w:t>
            </w:r>
          </w:p>
        </w:tc>
        <w:tc>
          <w:tcPr>
            <w:tcW w:w="2285" w:type="dxa"/>
            <w:gridSpan w:val="2"/>
            <w:shd w:val="clear" w:color="auto" w:fill="auto"/>
          </w:tcPr>
          <w:p w14:paraId="6DBD40A9" w14:textId="77777777" w:rsidR="00A3120A" w:rsidRPr="008F4600" w:rsidRDefault="00A3120A" w:rsidP="000A0F14">
            <w:pPr>
              <w:pStyle w:val="C"/>
              <w:tabs>
                <w:tab w:val="left" w:pos="0"/>
              </w:tabs>
              <w:suppressAutoHyphens/>
              <w:rPr>
                <w:sz w:val="26"/>
                <w:szCs w:val="26"/>
              </w:rPr>
            </w:pPr>
            <w:r w:rsidRPr="008F4600">
              <w:rPr>
                <w:sz w:val="26"/>
                <w:szCs w:val="26"/>
              </w:rPr>
              <w:t>Прокладка наружных сетей канализации из асбестоцементных труб открытым способом</w:t>
            </w:r>
          </w:p>
        </w:tc>
      </w:tr>
      <w:tr w:rsidR="00A3120A" w:rsidRPr="008F4600" w14:paraId="1B5477BC" w14:textId="77777777" w:rsidTr="000A0F14">
        <w:tc>
          <w:tcPr>
            <w:tcW w:w="645" w:type="dxa"/>
            <w:shd w:val="clear" w:color="auto" w:fill="auto"/>
          </w:tcPr>
          <w:p w14:paraId="46A14FB7" w14:textId="77777777" w:rsidR="00A3120A" w:rsidRPr="008F4600" w:rsidRDefault="00A3120A" w:rsidP="000A0F14">
            <w:pPr>
              <w:pStyle w:val="C"/>
              <w:tabs>
                <w:tab w:val="left" w:pos="0"/>
              </w:tabs>
              <w:suppressAutoHyphens/>
              <w:jc w:val="both"/>
              <w:rPr>
                <w:sz w:val="26"/>
                <w:szCs w:val="26"/>
              </w:rPr>
            </w:pPr>
            <w:r w:rsidRPr="008F4600">
              <w:rPr>
                <w:sz w:val="26"/>
                <w:szCs w:val="26"/>
              </w:rPr>
              <w:t>1</w:t>
            </w:r>
          </w:p>
        </w:tc>
        <w:tc>
          <w:tcPr>
            <w:tcW w:w="4862" w:type="dxa"/>
            <w:shd w:val="clear" w:color="auto" w:fill="auto"/>
          </w:tcPr>
          <w:p w14:paraId="357BE7DD" w14:textId="77777777" w:rsidR="00A3120A" w:rsidRPr="008F4600" w:rsidRDefault="00A3120A" w:rsidP="000A0F14">
            <w:pPr>
              <w:pStyle w:val="C"/>
              <w:tabs>
                <w:tab w:val="left" w:pos="0"/>
              </w:tabs>
              <w:suppressAutoHyphens/>
              <w:jc w:val="both"/>
              <w:rPr>
                <w:sz w:val="26"/>
                <w:szCs w:val="26"/>
              </w:rPr>
            </w:pPr>
            <w:r w:rsidRPr="008F4600">
              <w:rPr>
                <w:sz w:val="26"/>
                <w:szCs w:val="26"/>
              </w:rPr>
              <w:t>Ставка тарифа за подключаемую (технологически присоединяемую) нагрузку, тыс.руб./м в сутки</w:t>
            </w:r>
          </w:p>
        </w:tc>
        <w:tc>
          <w:tcPr>
            <w:tcW w:w="4346" w:type="dxa"/>
            <w:gridSpan w:val="3"/>
            <w:shd w:val="clear" w:color="auto" w:fill="auto"/>
          </w:tcPr>
          <w:p w14:paraId="6D7ACE97" w14:textId="77777777" w:rsidR="00A3120A" w:rsidRPr="008F4600" w:rsidRDefault="00A3120A" w:rsidP="000A0F14">
            <w:pPr>
              <w:pStyle w:val="C"/>
              <w:tabs>
                <w:tab w:val="left" w:pos="0"/>
              </w:tabs>
              <w:suppressAutoHyphens/>
              <w:jc w:val="both"/>
              <w:rPr>
                <w:sz w:val="26"/>
                <w:szCs w:val="26"/>
              </w:rPr>
            </w:pPr>
            <w:r w:rsidRPr="008F4600">
              <w:rPr>
                <w:sz w:val="26"/>
                <w:szCs w:val="26"/>
              </w:rPr>
              <w:t>1,355</w:t>
            </w:r>
          </w:p>
        </w:tc>
      </w:tr>
      <w:tr w:rsidR="00A3120A" w:rsidRPr="008F4600" w14:paraId="4EE318B8" w14:textId="77777777" w:rsidTr="000A0F14">
        <w:tc>
          <w:tcPr>
            <w:tcW w:w="645" w:type="dxa"/>
            <w:shd w:val="clear" w:color="auto" w:fill="auto"/>
          </w:tcPr>
          <w:p w14:paraId="12822AF6" w14:textId="77777777" w:rsidR="00A3120A" w:rsidRPr="008F4600" w:rsidRDefault="00A3120A" w:rsidP="000A0F14">
            <w:pPr>
              <w:pStyle w:val="C"/>
              <w:tabs>
                <w:tab w:val="left" w:pos="0"/>
              </w:tabs>
              <w:suppressAutoHyphens/>
              <w:jc w:val="both"/>
              <w:rPr>
                <w:sz w:val="26"/>
                <w:szCs w:val="26"/>
              </w:rPr>
            </w:pPr>
            <w:r w:rsidRPr="008F4600">
              <w:rPr>
                <w:sz w:val="26"/>
                <w:szCs w:val="26"/>
              </w:rPr>
              <w:t>2</w:t>
            </w:r>
          </w:p>
        </w:tc>
        <w:tc>
          <w:tcPr>
            <w:tcW w:w="9208" w:type="dxa"/>
            <w:gridSpan w:val="4"/>
            <w:shd w:val="clear" w:color="auto" w:fill="auto"/>
          </w:tcPr>
          <w:p w14:paraId="26B6D3AB" w14:textId="77777777" w:rsidR="00A3120A" w:rsidRPr="008F4600" w:rsidRDefault="00A3120A" w:rsidP="000A0F14">
            <w:pPr>
              <w:pStyle w:val="C"/>
              <w:tabs>
                <w:tab w:val="left" w:pos="0"/>
              </w:tabs>
              <w:suppressAutoHyphens/>
              <w:jc w:val="both"/>
              <w:rPr>
                <w:sz w:val="26"/>
                <w:szCs w:val="26"/>
              </w:rPr>
            </w:pPr>
            <w:r w:rsidRPr="008F4600">
              <w:rPr>
                <w:sz w:val="26"/>
                <w:szCs w:val="26"/>
              </w:rPr>
              <w:t>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 тыс.руб./км</w:t>
            </w:r>
          </w:p>
        </w:tc>
      </w:tr>
      <w:tr w:rsidR="00A3120A" w:rsidRPr="008F4600" w14:paraId="6162AACC" w14:textId="77777777" w:rsidTr="000A0F14">
        <w:tc>
          <w:tcPr>
            <w:tcW w:w="645" w:type="dxa"/>
            <w:shd w:val="clear" w:color="auto" w:fill="auto"/>
          </w:tcPr>
          <w:p w14:paraId="79381D43" w14:textId="77777777" w:rsidR="00A3120A" w:rsidRPr="008F4600" w:rsidRDefault="00A3120A" w:rsidP="000A0F14">
            <w:pPr>
              <w:pStyle w:val="C"/>
              <w:tabs>
                <w:tab w:val="left" w:pos="0"/>
              </w:tabs>
              <w:suppressAutoHyphens/>
              <w:jc w:val="both"/>
              <w:rPr>
                <w:sz w:val="26"/>
                <w:szCs w:val="26"/>
              </w:rPr>
            </w:pPr>
            <w:r w:rsidRPr="008F4600">
              <w:rPr>
                <w:sz w:val="26"/>
                <w:szCs w:val="26"/>
              </w:rPr>
              <w:t>2.1</w:t>
            </w:r>
          </w:p>
        </w:tc>
        <w:tc>
          <w:tcPr>
            <w:tcW w:w="4862" w:type="dxa"/>
            <w:shd w:val="clear" w:color="auto" w:fill="auto"/>
          </w:tcPr>
          <w:p w14:paraId="78C78C0C" w14:textId="77777777" w:rsidR="00A3120A" w:rsidRPr="008F4600" w:rsidRDefault="00A3120A" w:rsidP="000A0F14">
            <w:pPr>
              <w:pStyle w:val="C"/>
              <w:tabs>
                <w:tab w:val="left" w:pos="0"/>
              </w:tabs>
              <w:suppressAutoHyphens/>
              <w:jc w:val="both"/>
              <w:rPr>
                <w:sz w:val="26"/>
                <w:szCs w:val="26"/>
              </w:rPr>
            </w:pPr>
            <w:r w:rsidRPr="008F4600">
              <w:rPr>
                <w:sz w:val="26"/>
                <w:szCs w:val="26"/>
              </w:rPr>
              <w:t>Диаметром до 160 мм (включительно)</w:t>
            </w:r>
          </w:p>
        </w:tc>
        <w:tc>
          <w:tcPr>
            <w:tcW w:w="2173" w:type="dxa"/>
            <w:gridSpan w:val="2"/>
            <w:shd w:val="clear" w:color="auto" w:fill="auto"/>
          </w:tcPr>
          <w:p w14:paraId="1A549A2E" w14:textId="77777777" w:rsidR="00A3120A" w:rsidRPr="008F4600" w:rsidRDefault="00A3120A" w:rsidP="000A0F14">
            <w:pPr>
              <w:pStyle w:val="C"/>
              <w:tabs>
                <w:tab w:val="left" w:pos="0"/>
              </w:tabs>
              <w:suppressAutoHyphens/>
              <w:jc w:val="both"/>
              <w:rPr>
                <w:sz w:val="26"/>
                <w:szCs w:val="26"/>
              </w:rPr>
            </w:pPr>
            <w:r w:rsidRPr="008F4600">
              <w:rPr>
                <w:sz w:val="26"/>
                <w:szCs w:val="26"/>
              </w:rPr>
              <w:t>4 290,63</w:t>
            </w:r>
          </w:p>
        </w:tc>
        <w:tc>
          <w:tcPr>
            <w:tcW w:w="2173" w:type="dxa"/>
            <w:shd w:val="clear" w:color="auto" w:fill="auto"/>
          </w:tcPr>
          <w:p w14:paraId="3AAB86E4" w14:textId="77777777" w:rsidR="00A3120A" w:rsidRPr="008F4600" w:rsidRDefault="00A3120A" w:rsidP="000A0F14">
            <w:pPr>
              <w:pStyle w:val="C"/>
              <w:tabs>
                <w:tab w:val="left" w:pos="0"/>
              </w:tabs>
              <w:suppressAutoHyphens/>
              <w:jc w:val="both"/>
              <w:rPr>
                <w:sz w:val="26"/>
                <w:szCs w:val="26"/>
              </w:rPr>
            </w:pPr>
            <w:r w:rsidRPr="008F4600">
              <w:rPr>
                <w:sz w:val="26"/>
                <w:szCs w:val="26"/>
              </w:rPr>
              <w:t>2 073,57</w:t>
            </w:r>
          </w:p>
        </w:tc>
      </w:tr>
      <w:tr w:rsidR="00A3120A" w:rsidRPr="008F4600" w14:paraId="2A398023" w14:textId="77777777" w:rsidTr="000A0F14">
        <w:tc>
          <w:tcPr>
            <w:tcW w:w="645" w:type="dxa"/>
            <w:shd w:val="clear" w:color="auto" w:fill="auto"/>
          </w:tcPr>
          <w:p w14:paraId="213F4960" w14:textId="77777777" w:rsidR="00A3120A" w:rsidRPr="008F4600" w:rsidRDefault="00A3120A" w:rsidP="000A0F14">
            <w:pPr>
              <w:pStyle w:val="C"/>
              <w:tabs>
                <w:tab w:val="left" w:pos="0"/>
              </w:tabs>
              <w:suppressAutoHyphens/>
              <w:jc w:val="both"/>
              <w:rPr>
                <w:sz w:val="26"/>
                <w:szCs w:val="26"/>
              </w:rPr>
            </w:pPr>
            <w:r w:rsidRPr="008F4600">
              <w:rPr>
                <w:sz w:val="26"/>
                <w:szCs w:val="26"/>
              </w:rPr>
              <w:t>2.2</w:t>
            </w:r>
          </w:p>
        </w:tc>
        <w:tc>
          <w:tcPr>
            <w:tcW w:w="4862" w:type="dxa"/>
            <w:shd w:val="clear" w:color="auto" w:fill="auto"/>
          </w:tcPr>
          <w:p w14:paraId="13EEA59E" w14:textId="77777777" w:rsidR="00A3120A" w:rsidRPr="008F4600" w:rsidRDefault="00A3120A" w:rsidP="000A0F14">
            <w:pPr>
              <w:pStyle w:val="C"/>
              <w:tabs>
                <w:tab w:val="left" w:pos="0"/>
              </w:tabs>
              <w:suppressAutoHyphens/>
              <w:jc w:val="both"/>
              <w:rPr>
                <w:sz w:val="26"/>
                <w:szCs w:val="26"/>
              </w:rPr>
            </w:pPr>
            <w:r w:rsidRPr="008F4600">
              <w:rPr>
                <w:sz w:val="26"/>
                <w:szCs w:val="26"/>
              </w:rPr>
              <w:t>При прокладке сетей в стальном футляре</w:t>
            </w:r>
          </w:p>
        </w:tc>
        <w:tc>
          <w:tcPr>
            <w:tcW w:w="2173" w:type="dxa"/>
            <w:gridSpan w:val="2"/>
            <w:shd w:val="clear" w:color="auto" w:fill="auto"/>
          </w:tcPr>
          <w:p w14:paraId="45546BA6" w14:textId="77777777" w:rsidR="00A3120A" w:rsidRPr="008F4600" w:rsidRDefault="00A3120A" w:rsidP="000A0F14">
            <w:pPr>
              <w:pStyle w:val="C"/>
              <w:tabs>
                <w:tab w:val="left" w:pos="0"/>
              </w:tabs>
              <w:suppressAutoHyphens/>
              <w:jc w:val="both"/>
              <w:rPr>
                <w:sz w:val="26"/>
                <w:szCs w:val="26"/>
              </w:rPr>
            </w:pPr>
            <w:r w:rsidRPr="008F4600">
              <w:rPr>
                <w:sz w:val="26"/>
                <w:szCs w:val="26"/>
              </w:rPr>
              <w:t>4 156,34</w:t>
            </w:r>
          </w:p>
        </w:tc>
        <w:tc>
          <w:tcPr>
            <w:tcW w:w="2173" w:type="dxa"/>
            <w:shd w:val="clear" w:color="auto" w:fill="auto"/>
          </w:tcPr>
          <w:p w14:paraId="52B2A38F" w14:textId="77777777" w:rsidR="00A3120A" w:rsidRPr="008F4600" w:rsidRDefault="00A3120A" w:rsidP="000A0F14">
            <w:pPr>
              <w:pStyle w:val="C"/>
              <w:tabs>
                <w:tab w:val="left" w:pos="0"/>
              </w:tabs>
              <w:suppressAutoHyphens/>
              <w:jc w:val="both"/>
              <w:rPr>
                <w:sz w:val="26"/>
                <w:szCs w:val="26"/>
              </w:rPr>
            </w:pPr>
            <w:r w:rsidRPr="008F4600">
              <w:rPr>
                <w:sz w:val="26"/>
                <w:szCs w:val="26"/>
              </w:rPr>
              <w:t>-</w:t>
            </w:r>
          </w:p>
        </w:tc>
      </w:tr>
    </w:tbl>
    <w:p w14:paraId="7AF59AB9"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6. Точка присоединения при заключении договора о подключении устанавливается на границе земельного участка.</w:t>
      </w:r>
    </w:p>
    <w:p w14:paraId="3B3DAD82"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7. До начала производства работ, в соответствии с выданными условиями подключения, заказчику необходимо разработать проект и согласовать его в ООО «Феникс». Один экземпляр проекта передать в ПТО ООО «Феникс».</w:t>
      </w:r>
    </w:p>
    <w:p w14:paraId="48362945"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8. Работы по присоединению к системе водоотведения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водоотведения. Перед проведением работ по присоединению к системе водоотведения в охранной зоне инженерных сетей, предоставить эксплуатирующей организации акты освидетельствования скрытых работ согласно СП 48.13330.2019 на смонтированную канализационную сеть, согласованные с администрацией Арсеньевского городского округа.</w:t>
      </w:r>
    </w:p>
    <w:p w14:paraId="60DA1C1F"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9. Срок подключения объекта – 18 месяцев с даты заключения договоров о технологическом присоединении к системе водоотведения (если более поздний срок подключения не будет указан заявителем).</w:t>
      </w:r>
    </w:p>
    <w:p w14:paraId="2A75CC38"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10. Срок действия технических условий: 3 года с даты выдачи.</w:t>
      </w:r>
    </w:p>
    <w:p w14:paraId="04285CF6"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11. Объем (ресурс) водоотведения объекта при получении условий подключения и после его подключения к системам водоотведения не должен превышать указанный объем нагрузок, в противном случае подача ресурса будет ограничена до получения заказчиком условий подключения на дополнительный объем водоотведения.</w:t>
      </w:r>
    </w:p>
    <w:p w14:paraId="1B82E9F7"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lastRenderedPageBreak/>
        <w:t>12. Подключение объекта капитального строительства к сетям инженерно-технического обеспечения осуществляется на основании договора после проведения всех инженерных работ.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14:paraId="08565CBC"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13. Обязательства ООО «Феникс» по обеспечению подключения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инженерно-технического обеспечения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14:paraId="74304E05" w14:textId="77777777" w:rsidR="00A3120A" w:rsidRPr="008F4600" w:rsidRDefault="00A3120A" w:rsidP="00A3120A">
      <w:pPr>
        <w:pStyle w:val="C"/>
        <w:tabs>
          <w:tab w:val="left" w:pos="0"/>
        </w:tabs>
        <w:suppressAutoHyphens/>
        <w:ind w:firstLine="709"/>
        <w:jc w:val="both"/>
        <w:rPr>
          <w:sz w:val="26"/>
          <w:szCs w:val="26"/>
        </w:rPr>
      </w:pPr>
      <w:r w:rsidRPr="008F4600">
        <w:rPr>
          <w:sz w:val="26"/>
          <w:szCs w:val="26"/>
        </w:rPr>
        <w:t xml:space="preserve">14. После технологического присоединения заказчику необходимо заключить с ООО «Феникс» договор на водоснабжение в течении 5 (пяти) дней с оформлением акта разграничения балансовой и эксплуатационной ответственности сторон. </w:t>
      </w:r>
    </w:p>
    <w:p w14:paraId="7C2DF8B8" w14:textId="77777777" w:rsidR="00A3120A" w:rsidRDefault="00A3120A" w:rsidP="00A3120A">
      <w:pPr>
        <w:pStyle w:val="C"/>
        <w:tabs>
          <w:tab w:val="left" w:pos="0"/>
        </w:tabs>
        <w:suppressAutoHyphens/>
        <w:ind w:firstLine="709"/>
        <w:jc w:val="both"/>
        <w:rPr>
          <w:sz w:val="26"/>
          <w:szCs w:val="26"/>
        </w:rPr>
      </w:pPr>
      <w:r>
        <w:rPr>
          <w:sz w:val="26"/>
          <w:szCs w:val="26"/>
        </w:rPr>
        <w:t>5</w:t>
      </w:r>
      <w:r w:rsidRPr="00D34DD2">
        <w:rPr>
          <w:color w:val="FF0000"/>
          <w:sz w:val="26"/>
          <w:szCs w:val="26"/>
        </w:rPr>
        <w:t xml:space="preserve">. </w:t>
      </w:r>
      <w:r w:rsidRPr="00914E4A">
        <w:rPr>
          <w:b/>
          <w:bCs/>
          <w:sz w:val="26"/>
          <w:szCs w:val="26"/>
        </w:rPr>
        <w:t>Сети ливневой канализации:</w:t>
      </w:r>
      <w:r w:rsidRPr="00914E4A">
        <w:rPr>
          <w:sz w:val="26"/>
          <w:szCs w:val="26"/>
        </w:rPr>
        <w:t xml:space="preserve"> сброс ливневых, талых и поверхностных стоков с территории земельн</w:t>
      </w:r>
      <w:r>
        <w:rPr>
          <w:sz w:val="26"/>
          <w:szCs w:val="26"/>
        </w:rPr>
        <w:t>ого</w:t>
      </w:r>
      <w:r w:rsidRPr="00914E4A">
        <w:rPr>
          <w:sz w:val="26"/>
          <w:szCs w:val="26"/>
        </w:rPr>
        <w:t xml:space="preserve"> участк</w:t>
      </w:r>
      <w:r>
        <w:rPr>
          <w:sz w:val="26"/>
          <w:szCs w:val="26"/>
        </w:rPr>
        <w:t>а</w:t>
      </w:r>
      <w:r w:rsidRPr="00914E4A">
        <w:rPr>
          <w:sz w:val="26"/>
          <w:szCs w:val="26"/>
        </w:rPr>
        <w:t xml:space="preserve"> осуществить в </w:t>
      </w:r>
      <w:r>
        <w:rPr>
          <w:sz w:val="26"/>
          <w:szCs w:val="26"/>
        </w:rPr>
        <w:t>смотровой колодец Кс 11/1 коллектора ливневой канализации (верхняя отметка 166,62, нижняя отметка 163,02, диаметр кольца колодца 1000 мм, диаметр трубопровода 1000 мм).</w:t>
      </w:r>
    </w:p>
    <w:p w14:paraId="0AABA20F" w14:textId="77777777" w:rsidR="00A3120A" w:rsidRPr="00914E4A" w:rsidRDefault="00A3120A" w:rsidP="00A3120A">
      <w:pPr>
        <w:pStyle w:val="C"/>
        <w:tabs>
          <w:tab w:val="left" w:pos="0"/>
        </w:tabs>
        <w:suppressAutoHyphens/>
        <w:ind w:firstLine="709"/>
        <w:jc w:val="both"/>
        <w:rPr>
          <w:sz w:val="26"/>
          <w:szCs w:val="26"/>
        </w:rPr>
      </w:pPr>
      <w:r>
        <w:rPr>
          <w:sz w:val="26"/>
          <w:szCs w:val="26"/>
        </w:rPr>
        <w:t>Объем поверхностных вод в ливневую канализацию составляет – 0,64 л/с.</w:t>
      </w:r>
    </w:p>
    <w:p w14:paraId="7574CC9F" w14:textId="77777777" w:rsidR="00A3120A" w:rsidRDefault="00A3120A" w:rsidP="00A3120A">
      <w:pPr>
        <w:pStyle w:val="C"/>
        <w:tabs>
          <w:tab w:val="left" w:pos="0"/>
        </w:tabs>
        <w:suppressAutoHyphens/>
        <w:ind w:firstLine="709"/>
        <w:jc w:val="both"/>
        <w:rPr>
          <w:sz w:val="26"/>
          <w:szCs w:val="26"/>
        </w:rPr>
      </w:pPr>
      <w:r w:rsidRPr="00914E4A">
        <w:rPr>
          <w:sz w:val="26"/>
          <w:szCs w:val="26"/>
        </w:rPr>
        <w:t>Проектом предусмотреть</w:t>
      </w:r>
      <w:r>
        <w:rPr>
          <w:sz w:val="26"/>
          <w:szCs w:val="26"/>
        </w:rPr>
        <w:t xml:space="preserve"> строительство ливневой канализации на вышеуказанной территории с устройством локального очистного сооружения, включающего в себя пескоотделитель и маслоуловитель.</w:t>
      </w:r>
    </w:p>
    <w:p w14:paraId="1CDAF24A" w14:textId="77777777" w:rsidR="00A3120A" w:rsidRDefault="00A3120A" w:rsidP="00A3120A">
      <w:pPr>
        <w:pStyle w:val="C"/>
        <w:tabs>
          <w:tab w:val="left" w:pos="0"/>
        </w:tabs>
        <w:suppressAutoHyphens/>
        <w:ind w:firstLine="709"/>
        <w:jc w:val="both"/>
        <w:rPr>
          <w:sz w:val="26"/>
          <w:szCs w:val="26"/>
        </w:rPr>
      </w:pPr>
      <w:r w:rsidRPr="00914E4A">
        <w:rPr>
          <w:sz w:val="26"/>
          <w:szCs w:val="26"/>
        </w:rPr>
        <w:t>Проект выполнить специализированной организацией, имеющей допуск к выполнению данных работ.</w:t>
      </w:r>
    </w:p>
    <w:p w14:paraId="168DC48C" w14:textId="77777777" w:rsidR="00A3120A" w:rsidRDefault="00A3120A" w:rsidP="00A3120A">
      <w:pPr>
        <w:pStyle w:val="C"/>
        <w:tabs>
          <w:tab w:val="left" w:pos="0"/>
        </w:tabs>
        <w:suppressAutoHyphens/>
        <w:ind w:firstLine="709"/>
        <w:jc w:val="both"/>
        <w:rPr>
          <w:sz w:val="26"/>
          <w:szCs w:val="26"/>
        </w:rPr>
      </w:pPr>
      <w:r w:rsidRPr="00914E4A">
        <w:rPr>
          <w:sz w:val="26"/>
          <w:szCs w:val="26"/>
        </w:rPr>
        <w:t xml:space="preserve">Срок действия технических условий – </w:t>
      </w:r>
      <w:r>
        <w:rPr>
          <w:sz w:val="26"/>
          <w:szCs w:val="26"/>
        </w:rPr>
        <w:t>5 лет с момента выдачи.</w:t>
      </w:r>
    </w:p>
    <w:p w14:paraId="3FF6A279" w14:textId="77777777" w:rsidR="00D3461D" w:rsidRPr="00A3120A" w:rsidRDefault="00D3461D" w:rsidP="00A3120A"/>
    <w:sectPr w:rsidR="00D3461D" w:rsidRPr="00A3120A" w:rsidSect="00D3461D">
      <w:pgSz w:w="11906" w:h="16838"/>
      <w:pgMar w:top="851"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72"/>
    <w:rsid w:val="00006E99"/>
    <w:rsid w:val="000B667A"/>
    <w:rsid w:val="0023397C"/>
    <w:rsid w:val="00275F36"/>
    <w:rsid w:val="00391CBA"/>
    <w:rsid w:val="003A530E"/>
    <w:rsid w:val="0040562C"/>
    <w:rsid w:val="004A113D"/>
    <w:rsid w:val="004F2965"/>
    <w:rsid w:val="005A266C"/>
    <w:rsid w:val="006625C1"/>
    <w:rsid w:val="006B0F5A"/>
    <w:rsid w:val="008D037D"/>
    <w:rsid w:val="0094411D"/>
    <w:rsid w:val="00977EB6"/>
    <w:rsid w:val="00A3120A"/>
    <w:rsid w:val="00AC044B"/>
    <w:rsid w:val="00B0794A"/>
    <w:rsid w:val="00B122C3"/>
    <w:rsid w:val="00B317A8"/>
    <w:rsid w:val="00CD3668"/>
    <w:rsid w:val="00D3461D"/>
    <w:rsid w:val="00D47F72"/>
    <w:rsid w:val="00DE3771"/>
    <w:rsid w:val="00EB7055"/>
    <w:rsid w:val="00F52718"/>
    <w:rsid w:val="00FC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B43A"/>
  <w15:chartTrackingRefBased/>
  <w15:docId w15:val="{B2D77B92-51EE-4B45-B59C-FB85C6C8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3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F5A"/>
    <w:pPr>
      <w:keepNext/>
      <w:widowControl w:val="0"/>
      <w:spacing w:line="360" w:lineRule="auto"/>
      <w:jc w:val="center"/>
      <w:outlineLvl w:val="0"/>
    </w:pPr>
    <w:rPr>
      <w:b/>
      <w:sz w:val="26"/>
    </w:rPr>
  </w:style>
  <w:style w:type="paragraph" w:styleId="2">
    <w:name w:val="heading 2"/>
    <w:basedOn w:val="a"/>
    <w:next w:val="a"/>
    <w:link w:val="20"/>
    <w:qFormat/>
    <w:rsid w:val="006B0F5A"/>
    <w:pPr>
      <w:keepNext/>
      <w:widowControl w:val="0"/>
      <w:jc w:val="both"/>
      <w:outlineLvl w:val="1"/>
    </w:pPr>
    <w:rPr>
      <w:sz w:val="26"/>
    </w:rPr>
  </w:style>
  <w:style w:type="paragraph" w:styleId="3">
    <w:name w:val="heading 3"/>
    <w:basedOn w:val="a"/>
    <w:next w:val="a"/>
    <w:link w:val="30"/>
    <w:qFormat/>
    <w:rsid w:val="006B0F5A"/>
    <w:pPr>
      <w:keepNext/>
      <w:widowControl w:val="0"/>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
    <w:name w:val="Обычный/цC"/>
    <w:rsid w:val="004056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B0F5A"/>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6B0F5A"/>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6B0F5A"/>
    <w:rPr>
      <w:rFonts w:ascii="Times New Roman" w:eastAsia="Times New Roman" w:hAnsi="Times New Roman" w:cs="Times New Roman"/>
      <w:b/>
      <w:spacing w:val="20"/>
      <w:sz w:val="26"/>
      <w:szCs w:val="20"/>
      <w:lang w:eastAsia="ru-RU"/>
    </w:rPr>
  </w:style>
  <w:style w:type="character" w:customStyle="1" w:styleId="11">
    <w:name w:val="Гиперссылка1"/>
    <w:rsid w:val="006B0F5A"/>
    <w:rPr>
      <w:color w:val="0000FF"/>
      <w:u w:val="single"/>
    </w:rPr>
  </w:style>
  <w:style w:type="paragraph" w:styleId="a3">
    <w:name w:val="Body Text Indent"/>
    <w:basedOn w:val="a"/>
    <w:link w:val="a4"/>
    <w:rsid w:val="006B0F5A"/>
    <w:pPr>
      <w:widowControl w:val="0"/>
      <w:autoSpaceDE w:val="0"/>
      <w:autoSpaceDN w:val="0"/>
      <w:adjustRightInd w:val="0"/>
      <w:ind w:left="1309"/>
    </w:pPr>
    <w:rPr>
      <w:sz w:val="26"/>
    </w:rPr>
  </w:style>
  <w:style w:type="character" w:customStyle="1" w:styleId="a4">
    <w:name w:val="Основной текст с отступом Знак"/>
    <w:basedOn w:val="a0"/>
    <w:link w:val="a3"/>
    <w:rsid w:val="006B0F5A"/>
    <w:rPr>
      <w:rFonts w:ascii="Times New Roman" w:eastAsia="Times New Roman" w:hAnsi="Times New Roman" w:cs="Times New Roman"/>
      <w:sz w:val="26"/>
      <w:szCs w:val="20"/>
      <w:lang w:eastAsia="ru-RU"/>
    </w:rPr>
  </w:style>
  <w:style w:type="paragraph" w:styleId="a5">
    <w:name w:val="Body Text"/>
    <w:basedOn w:val="a"/>
    <w:link w:val="a6"/>
    <w:rsid w:val="006B0F5A"/>
    <w:pPr>
      <w:jc w:val="center"/>
    </w:pPr>
    <w:rPr>
      <w:b/>
      <w:sz w:val="28"/>
    </w:rPr>
  </w:style>
  <w:style w:type="character" w:customStyle="1" w:styleId="a6">
    <w:name w:val="Основной текст Знак"/>
    <w:basedOn w:val="a0"/>
    <w:link w:val="a5"/>
    <w:rsid w:val="006B0F5A"/>
    <w:rPr>
      <w:rFonts w:ascii="Times New Roman" w:eastAsia="Times New Roman" w:hAnsi="Times New Roman" w:cs="Times New Roman"/>
      <w:b/>
      <w:sz w:val="28"/>
      <w:szCs w:val="20"/>
      <w:lang w:eastAsia="ru-RU"/>
    </w:rPr>
  </w:style>
  <w:style w:type="paragraph" w:styleId="21">
    <w:name w:val="Body Text Indent 2"/>
    <w:basedOn w:val="a"/>
    <w:link w:val="22"/>
    <w:rsid w:val="006B0F5A"/>
    <w:pPr>
      <w:widowControl w:val="0"/>
      <w:ind w:firstLine="709"/>
      <w:jc w:val="both"/>
    </w:pPr>
    <w:rPr>
      <w:sz w:val="26"/>
    </w:rPr>
  </w:style>
  <w:style w:type="character" w:customStyle="1" w:styleId="22">
    <w:name w:val="Основной текст с отступом 2 Знак"/>
    <w:basedOn w:val="a0"/>
    <w:link w:val="21"/>
    <w:rsid w:val="006B0F5A"/>
    <w:rPr>
      <w:rFonts w:ascii="Times New Roman" w:eastAsia="Times New Roman" w:hAnsi="Times New Roman" w:cs="Times New Roman"/>
      <w:sz w:val="26"/>
      <w:szCs w:val="20"/>
      <w:lang w:eastAsia="ru-RU"/>
    </w:rPr>
  </w:style>
  <w:style w:type="paragraph" w:styleId="31">
    <w:name w:val="Body Text Indent 3"/>
    <w:basedOn w:val="a"/>
    <w:link w:val="32"/>
    <w:rsid w:val="006B0F5A"/>
    <w:pPr>
      <w:ind w:firstLine="567"/>
      <w:jc w:val="both"/>
    </w:pPr>
    <w:rPr>
      <w:sz w:val="26"/>
    </w:rPr>
  </w:style>
  <w:style w:type="character" w:customStyle="1" w:styleId="32">
    <w:name w:val="Основной текст с отступом 3 Знак"/>
    <w:basedOn w:val="a0"/>
    <w:link w:val="31"/>
    <w:rsid w:val="006B0F5A"/>
    <w:rPr>
      <w:rFonts w:ascii="Times New Roman" w:eastAsia="Times New Roman" w:hAnsi="Times New Roman" w:cs="Times New Roman"/>
      <w:sz w:val="26"/>
      <w:szCs w:val="20"/>
      <w:lang w:eastAsia="ru-RU"/>
    </w:rPr>
  </w:style>
  <w:style w:type="character" w:styleId="a7">
    <w:name w:val="Hyperlink"/>
    <w:uiPriority w:val="99"/>
    <w:rsid w:val="006B0F5A"/>
    <w:rPr>
      <w:color w:val="0000FF"/>
      <w:u w:val="single"/>
    </w:rPr>
  </w:style>
  <w:style w:type="paragraph" w:styleId="a8">
    <w:name w:val="Balloon Text"/>
    <w:basedOn w:val="a"/>
    <w:link w:val="a9"/>
    <w:semiHidden/>
    <w:rsid w:val="006B0F5A"/>
    <w:pPr>
      <w:widowControl w:val="0"/>
    </w:pPr>
    <w:rPr>
      <w:rFonts w:ascii="Tahoma" w:hAnsi="Tahoma" w:cs="Tahoma"/>
      <w:sz w:val="16"/>
      <w:szCs w:val="16"/>
    </w:rPr>
  </w:style>
  <w:style w:type="character" w:customStyle="1" w:styleId="a9">
    <w:name w:val="Текст выноски Знак"/>
    <w:basedOn w:val="a0"/>
    <w:link w:val="a8"/>
    <w:semiHidden/>
    <w:rsid w:val="006B0F5A"/>
    <w:rPr>
      <w:rFonts w:ascii="Tahoma" w:eastAsia="Times New Roman" w:hAnsi="Tahoma" w:cs="Tahoma"/>
      <w:sz w:val="16"/>
      <w:szCs w:val="16"/>
      <w:lang w:eastAsia="ru-RU"/>
    </w:rPr>
  </w:style>
  <w:style w:type="paragraph" w:customStyle="1" w:styleId="ConsPlusNormal">
    <w:name w:val="ConsPlusNormal"/>
    <w:rsid w:val="006B0F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Emphasis"/>
    <w:qFormat/>
    <w:rsid w:val="006B0F5A"/>
    <w:rPr>
      <w:i/>
      <w:iCs/>
    </w:rPr>
  </w:style>
  <w:style w:type="character" w:customStyle="1" w:styleId="Hyperlink">
    <w:name w:val="Hyperlink"/>
    <w:rsid w:val="00A31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Богдановская Виолетта Дмитриевна</cp:lastModifiedBy>
  <cp:revision>20</cp:revision>
  <dcterms:created xsi:type="dcterms:W3CDTF">2016-07-26T08:41:00Z</dcterms:created>
  <dcterms:modified xsi:type="dcterms:W3CDTF">2021-08-26T06:11:00Z</dcterms:modified>
</cp:coreProperties>
</file>