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FCDC" w14:textId="77777777" w:rsidR="0088403D" w:rsidRPr="007C5522" w:rsidRDefault="0088403D" w:rsidP="0088403D">
      <w:pPr>
        <w:ind w:firstLine="709"/>
        <w:jc w:val="both"/>
        <w:rPr>
          <w:b/>
          <w:bCs/>
          <w:sz w:val="26"/>
          <w:szCs w:val="26"/>
        </w:rPr>
      </w:pPr>
      <w:r w:rsidRPr="007C5522">
        <w:rPr>
          <w:b/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sz w:val="26"/>
          <w:szCs w:val="26"/>
        </w:rPr>
        <w:t xml:space="preserve"> по лоту № 2</w:t>
      </w:r>
      <w:r w:rsidRPr="007C5522">
        <w:rPr>
          <w:b/>
          <w:bCs/>
          <w:sz w:val="26"/>
          <w:szCs w:val="26"/>
        </w:rPr>
        <w:t>:</w:t>
      </w:r>
    </w:p>
    <w:p w14:paraId="6DB14734" w14:textId="77777777" w:rsidR="0088403D" w:rsidRPr="006B4032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Максимальный класс вредности (по классификации СанПиН) объектов капитального строительства, размещаемых на территории зоны - V (за исключением автовокзалов и объектов внутригородского транспорта).</w:t>
      </w:r>
    </w:p>
    <w:p w14:paraId="45059A70" w14:textId="77777777" w:rsidR="0088403D" w:rsidRPr="006B4032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302A0F8" w14:textId="77777777" w:rsidR="0088403D" w:rsidRPr="006B4032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1) минимальный размер по фронту застройки со стороны улиц - 6 м;</w:t>
      </w:r>
    </w:p>
    <w:p w14:paraId="16E5FB40" w14:textId="77777777" w:rsidR="0088403D" w:rsidRPr="006B4032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2) минимальная площадь земельного участка - 200 кв. м;</w:t>
      </w:r>
    </w:p>
    <w:p w14:paraId="0FE47FBA" w14:textId="77777777" w:rsidR="0088403D" w:rsidRPr="006B4032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установлены, рекомендуемый минимальный отступ - 5 м;</w:t>
      </w:r>
    </w:p>
    <w:p w14:paraId="4C04B2E6" w14:textId="77777777" w:rsidR="0088403D" w:rsidRPr="006B4032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4) предельная высота зданий, строений, сооружений - 75 м, шпили, башни, флагштоки - без ограничений;</w:t>
      </w:r>
    </w:p>
    <w:p w14:paraId="6B500176" w14:textId="77777777" w:rsidR="0088403D" w:rsidRPr="006B4032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5) минимальный и максимальный процент застройки земельного участка - в зависимости от типа объектов от 40% до 60%;</w:t>
      </w:r>
    </w:p>
    <w:p w14:paraId="7754F8E3" w14:textId="77777777" w:rsidR="0088403D" w:rsidRDefault="0088403D" w:rsidP="0088403D">
      <w:pPr>
        <w:ind w:firstLine="709"/>
        <w:jc w:val="both"/>
        <w:rPr>
          <w:sz w:val="26"/>
          <w:szCs w:val="26"/>
        </w:rPr>
      </w:pPr>
      <w:r w:rsidRPr="006B4032">
        <w:rPr>
          <w:sz w:val="26"/>
          <w:szCs w:val="26"/>
        </w:rPr>
        <w:t>6) минимальный процент озеленения земельного участка - в зависимости от типа объектов, но не менее 20%</w:t>
      </w:r>
      <w:r>
        <w:rPr>
          <w:sz w:val="26"/>
          <w:szCs w:val="26"/>
        </w:rPr>
        <w:t>.</w:t>
      </w:r>
    </w:p>
    <w:p w14:paraId="67B32A07" w14:textId="77777777" w:rsidR="008A69F9" w:rsidRPr="0088403D" w:rsidRDefault="008A69F9" w:rsidP="0088403D"/>
    <w:sectPr w:rsidR="008A69F9" w:rsidRPr="0088403D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45588"/>
    <w:rsid w:val="00776188"/>
    <w:rsid w:val="0088403D"/>
    <w:rsid w:val="008A69F9"/>
    <w:rsid w:val="008B22A8"/>
    <w:rsid w:val="00A07611"/>
    <w:rsid w:val="00A20252"/>
    <w:rsid w:val="00A20E16"/>
    <w:rsid w:val="00A977F8"/>
    <w:rsid w:val="00BA795E"/>
    <w:rsid w:val="00C2145C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4583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2016-10-19T07:39:00Z</dcterms:created>
  <dcterms:modified xsi:type="dcterms:W3CDTF">2021-09-29T22:46:00Z</dcterms:modified>
</cp:coreProperties>
</file>