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24" w:rsidRPr="00AA1624" w:rsidRDefault="00AA1624" w:rsidP="00AA1624">
      <w:pPr>
        <w:spacing w:after="6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624">
        <w:rPr>
          <w:rFonts w:ascii="Times New Roman" w:eastAsia="Calibri" w:hAnsi="Times New Roman" w:cs="Times New Roman"/>
          <w:b/>
          <w:sz w:val="24"/>
          <w:szCs w:val="24"/>
        </w:rPr>
        <w:t xml:space="preserve">Демографическая ситуация в </w:t>
      </w:r>
      <w:proofErr w:type="spellStart"/>
      <w:r w:rsidRPr="00AA1624">
        <w:rPr>
          <w:rFonts w:ascii="Times New Roman" w:eastAsia="Calibri" w:hAnsi="Times New Roman" w:cs="Times New Roman"/>
          <w:b/>
          <w:sz w:val="24"/>
          <w:szCs w:val="24"/>
        </w:rPr>
        <w:t>Арсеньевском</w:t>
      </w:r>
      <w:proofErr w:type="spellEnd"/>
      <w:r w:rsidRPr="00AA1624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городском округе 2022 год</w:t>
      </w:r>
    </w:p>
    <w:p w:rsidR="00AA1624" w:rsidRPr="00AA1624" w:rsidRDefault="00AA1624" w:rsidP="00AA1624">
      <w:pPr>
        <w:spacing w:after="12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В городском округе наблюдается сложная демографическая ситуация. Как и в целом по Приморскому краю, процесс сокращения численности населения замедлился, но не прекратился. За последние три года произошло сокращение постоянного населения городского округа на 4,4 % с 53543 чел. в 2015г до 51180 чел.  на 01.01.2022 года, сохраняется естественная убыль населения. </w:t>
      </w:r>
    </w:p>
    <w:p w:rsidR="00AA1624" w:rsidRPr="00AA1624" w:rsidRDefault="00AA1624" w:rsidP="00AA162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Половозрастная структура населения на 31.12.2022г. Арсеньевского городского округа характеризуется следующими параметрами:</w:t>
      </w:r>
    </w:p>
    <w:p w:rsidR="00AA1624" w:rsidRPr="00AA1624" w:rsidRDefault="00AA1624" w:rsidP="00AA1624">
      <w:pPr>
        <w:spacing w:after="0" w:line="240" w:lineRule="auto"/>
        <w:ind w:left="426"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 Население -51180</w:t>
      </w:r>
    </w:p>
    <w:p w:rsidR="00AA1624" w:rsidRPr="00AA1624" w:rsidRDefault="00AA1624" w:rsidP="00AA1624">
      <w:pPr>
        <w:spacing w:after="0" w:line="240" w:lineRule="auto"/>
        <w:ind w:left="426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 -  23110</w:t>
      </w:r>
    </w:p>
    <w:p w:rsidR="00AA1624" w:rsidRPr="00AA1624" w:rsidRDefault="00AA1624" w:rsidP="00AA1624">
      <w:pPr>
        <w:spacing w:after="0" w:line="240" w:lineRule="auto"/>
        <w:ind w:left="426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28070</w:t>
      </w:r>
    </w:p>
    <w:p w:rsidR="00AA1624" w:rsidRPr="00AA1624" w:rsidRDefault="00AA1624" w:rsidP="00AA16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6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моложе трудоспособного возраста –</w:t>
      </w:r>
      <w:proofErr w:type="gramStart"/>
      <w:r w:rsidRPr="00AA1624">
        <w:rPr>
          <w:rFonts w:ascii="Times New Roman" w:eastAsia="Calibri" w:hAnsi="Times New Roman" w:cs="Times New Roman"/>
          <w:color w:val="000000"/>
          <w:sz w:val="24"/>
          <w:szCs w:val="24"/>
        </w:rPr>
        <w:t>10985 ;</w:t>
      </w:r>
      <w:proofErr w:type="gramEnd"/>
      <w:r w:rsidRPr="00AA16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21,4   % </w:t>
      </w:r>
    </w:p>
    <w:p w:rsidR="00AA1624" w:rsidRPr="00AA1624" w:rsidRDefault="00AA1624" w:rsidP="00AA16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6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трудоспособный возраст – </w:t>
      </w:r>
      <w:proofErr w:type="gramStart"/>
      <w:r w:rsidRPr="00AA16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22644;   </w:t>
      </w:r>
      <w:proofErr w:type="gramEnd"/>
      <w:r w:rsidRPr="00AA16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44,4  % </w:t>
      </w:r>
    </w:p>
    <w:p w:rsidR="00AA1624" w:rsidRPr="00AA1624" w:rsidRDefault="00AA1624" w:rsidP="00AA16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6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старше трудоспособного возраста -</w:t>
      </w:r>
      <w:proofErr w:type="gramStart"/>
      <w:r w:rsidRPr="00AA16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17551;   </w:t>
      </w:r>
      <w:proofErr w:type="gramEnd"/>
      <w:r w:rsidRPr="00AA16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34,2  %</w:t>
      </w:r>
    </w:p>
    <w:p w:rsidR="00AA1624" w:rsidRPr="00AA1624" w:rsidRDefault="00AA1624" w:rsidP="00AA162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За январь- декабрь 2022 г </w:t>
      </w:r>
      <w:proofErr w:type="gramStart"/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proofErr w:type="spellStart"/>
      <w:r w:rsidRPr="00AA1624">
        <w:rPr>
          <w:rFonts w:ascii="Times New Roman" w:eastAsia="Calibri" w:hAnsi="Times New Roman" w:cs="Times New Roman"/>
          <w:sz w:val="24"/>
          <w:szCs w:val="24"/>
        </w:rPr>
        <w:t>Арсеньевском</w:t>
      </w:r>
      <w:proofErr w:type="spellEnd"/>
      <w:proofErr w:type="gramEnd"/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 умерло человека 811( январь-декабрь 2021года – 1035  человек) </w:t>
      </w:r>
    </w:p>
    <w:p w:rsidR="00AA1624" w:rsidRPr="00AA1624" w:rsidRDefault="00AA1624" w:rsidP="00AA162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Показатель общей смертности за 2022   г снизился на   21,6 % в сравнении с 2021 г.  и равен 15,8 </w:t>
      </w:r>
      <w:proofErr w:type="spellStart"/>
      <w:r w:rsidRPr="00AA1624">
        <w:rPr>
          <w:rFonts w:ascii="Times New Roman" w:eastAsia="Calibri" w:hAnsi="Times New Roman" w:cs="Times New Roman"/>
          <w:sz w:val="24"/>
          <w:szCs w:val="24"/>
        </w:rPr>
        <w:t>промилли</w:t>
      </w:r>
      <w:proofErr w:type="spellEnd"/>
      <w:r w:rsidRPr="00AA1624">
        <w:rPr>
          <w:rFonts w:ascii="Times New Roman" w:eastAsia="Calibri" w:hAnsi="Times New Roman" w:cs="Times New Roman"/>
          <w:sz w:val="24"/>
          <w:szCs w:val="24"/>
        </w:rPr>
        <w:t>.</w:t>
      </w:r>
      <w:r w:rsidRPr="00AA1624">
        <w:rPr>
          <w:rFonts w:ascii="Calibri" w:eastAsia="Calibri" w:hAnsi="Calibri" w:cs="Times New Roman"/>
          <w:sz w:val="24"/>
          <w:szCs w:val="24"/>
        </w:rPr>
        <w:t xml:space="preserve">     </w:t>
      </w:r>
    </w:p>
    <w:p w:rsidR="00AA1624" w:rsidRPr="00AA1624" w:rsidRDefault="00AA1624" w:rsidP="00AA1624">
      <w:pPr>
        <w:spacing w:after="0" w:line="240" w:lineRule="auto"/>
        <w:ind w:right="-1"/>
        <w:jc w:val="both"/>
        <w:rPr>
          <w:rFonts w:ascii="Calibri" w:eastAsia="Calibri" w:hAnsi="Calibri" w:cs="Times New Roman"/>
          <w:sz w:val="24"/>
          <w:szCs w:val="24"/>
        </w:rPr>
      </w:pPr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В 2022 году умерло 408 мужчин 50,3 %   и 403 женщин 49,7 %  </w:t>
      </w:r>
      <w:proofErr w:type="gramStart"/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 в 2021  г – 47,8 % мужчин, 52,2 % женщин .</w:t>
      </w:r>
    </w:p>
    <w:p w:rsidR="00AA1624" w:rsidRPr="00AA1624" w:rsidRDefault="00AA1624" w:rsidP="00AA1624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Показатель умерших на дому </w:t>
      </w:r>
      <w:r w:rsidRPr="00AA1624">
        <w:rPr>
          <w:rFonts w:ascii="Times New Roman" w:eastAsia="Calibri" w:hAnsi="Times New Roman" w:cs="Times New Roman"/>
          <w:b/>
          <w:sz w:val="24"/>
          <w:szCs w:val="24"/>
        </w:rPr>
        <w:t>снизился на 16,6</w:t>
      </w:r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AA1624" w:rsidRPr="00AA1624" w:rsidRDefault="00AA1624" w:rsidP="00AA162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Количество умерших в стационаре снизилось на 32,4 % в сравнении с аналогичным периодом 2021 г. На 10,7 %   в сравнении с 2021 годом </w:t>
      </w:r>
      <w:r w:rsidRPr="00AA1624">
        <w:rPr>
          <w:rFonts w:ascii="Times New Roman" w:eastAsia="Calibri" w:hAnsi="Times New Roman" w:cs="Times New Roman"/>
          <w:b/>
          <w:sz w:val="24"/>
          <w:szCs w:val="24"/>
        </w:rPr>
        <w:t>увеличилась</w:t>
      </w:r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   смертность среди лиц трудоспособного возраста, что связано с внешними причинами.</w:t>
      </w:r>
    </w:p>
    <w:p w:rsidR="000E02B8" w:rsidRDefault="000E02B8"/>
    <w:tbl>
      <w:tblPr>
        <w:tblW w:w="8044" w:type="dxa"/>
        <w:jc w:val="center"/>
        <w:tblLook w:val="04A0" w:firstRow="1" w:lastRow="0" w:firstColumn="1" w:lastColumn="0" w:noHBand="0" w:noVBand="1"/>
      </w:tblPr>
      <w:tblGrid>
        <w:gridCol w:w="3613"/>
        <w:gridCol w:w="923"/>
        <w:gridCol w:w="851"/>
        <w:gridCol w:w="1134"/>
        <w:gridCol w:w="1276"/>
        <w:gridCol w:w="247"/>
      </w:tblGrid>
      <w:tr w:rsidR="00AA1624" w:rsidRPr="00AA1624" w:rsidTr="005E2261">
        <w:trPr>
          <w:trHeight w:val="375"/>
          <w:jc w:val="center"/>
        </w:trPr>
        <w:tc>
          <w:tcPr>
            <w:tcW w:w="7797" w:type="dxa"/>
            <w:gridSpan w:val="5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Показатели общей смертности за период </w:t>
            </w:r>
          </w:p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7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1624" w:rsidRPr="00AA1624" w:rsidTr="005E2261">
        <w:trPr>
          <w:trHeight w:val="300"/>
          <w:jc w:val="center"/>
        </w:trPr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7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624" w:rsidRPr="00AA1624" w:rsidTr="005E2261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7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624" w:rsidRPr="00AA1624" w:rsidTr="005E2261">
        <w:trPr>
          <w:trHeight w:val="330"/>
          <w:jc w:val="center"/>
        </w:trPr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заболеваний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  <w:tc>
          <w:tcPr>
            <w:tcW w:w="247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624" w:rsidRPr="00AA1624" w:rsidTr="005E2261">
        <w:trPr>
          <w:trHeight w:val="330"/>
          <w:jc w:val="center"/>
        </w:trPr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Травмы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247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624" w:rsidRPr="00AA1624" w:rsidTr="005E2261">
        <w:trPr>
          <w:trHeight w:val="330"/>
          <w:jc w:val="center"/>
        </w:trPr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в </w:t>
            </w:r>
            <w:proofErr w:type="spellStart"/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ДТП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247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624" w:rsidRPr="00AA1624" w:rsidTr="005E2261">
        <w:trPr>
          <w:trHeight w:val="645"/>
          <w:jc w:val="center"/>
        </w:trPr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несчастных случаях на производстве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624" w:rsidRPr="00AA1624" w:rsidTr="005E2261">
        <w:trPr>
          <w:trHeight w:val="330"/>
          <w:jc w:val="center"/>
        </w:trPr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ранений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7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624" w:rsidRPr="00AA1624" w:rsidTr="005E2261">
        <w:trPr>
          <w:trHeight w:val="330"/>
          <w:jc w:val="center"/>
        </w:trPr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асфиксий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47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624" w:rsidRPr="00AA1624" w:rsidTr="005E2261">
        <w:trPr>
          <w:trHeight w:val="330"/>
          <w:jc w:val="center"/>
        </w:trPr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отравлений,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247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624" w:rsidRPr="00AA1624" w:rsidTr="005E2261">
        <w:trPr>
          <w:trHeight w:val="330"/>
          <w:jc w:val="center"/>
        </w:trPr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в </w:t>
            </w:r>
            <w:proofErr w:type="spellStart"/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алкогольных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47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624" w:rsidRPr="00AA1624" w:rsidTr="005E2261">
        <w:trPr>
          <w:trHeight w:val="330"/>
          <w:jc w:val="center"/>
        </w:trPr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Убийства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7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624" w:rsidRPr="00AA1624" w:rsidTr="005E2261">
        <w:trPr>
          <w:trHeight w:val="315"/>
          <w:jc w:val="center"/>
        </w:trPr>
        <w:tc>
          <w:tcPr>
            <w:tcW w:w="36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самоубийств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247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624" w:rsidRPr="00AA1624" w:rsidTr="005E2261">
        <w:trPr>
          <w:trHeight w:val="315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отморожения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247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624" w:rsidRPr="00AA1624" w:rsidTr="005E2261">
        <w:trPr>
          <w:trHeight w:val="300"/>
          <w:jc w:val="center"/>
        </w:trPr>
        <w:tc>
          <w:tcPr>
            <w:tcW w:w="3613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" w:type="dxa"/>
            <w:noWrap/>
            <w:vAlign w:val="bottom"/>
            <w:hideMark/>
          </w:tcPr>
          <w:p w:rsidR="00AA1624" w:rsidRPr="00AA1624" w:rsidRDefault="00AA1624" w:rsidP="00AA1624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A1624" w:rsidRPr="00AA1624" w:rsidRDefault="00AA1624" w:rsidP="00AA1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624">
        <w:rPr>
          <w:rFonts w:ascii="Times New Roman" w:eastAsia="Calibri" w:hAnsi="Times New Roman" w:cs="Times New Roman"/>
          <w:sz w:val="24"/>
          <w:szCs w:val="24"/>
        </w:rPr>
        <w:t>За январь –декабрь месяц 2022 г показатель смертности от заболеваний снизился на 22,9% в сравнении с 2021годом.</w:t>
      </w:r>
    </w:p>
    <w:p w:rsidR="00AA1624" w:rsidRDefault="00AA1624" w:rsidP="00AA1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Показатель смертности от травм увеличился на 6,3 %, увеличился от алкогольных </w:t>
      </w:r>
      <w:r w:rsidRPr="00AA1624">
        <w:rPr>
          <w:rFonts w:ascii="Times New Roman" w:eastAsia="Calibri" w:hAnsi="Times New Roman" w:cs="Times New Roman"/>
          <w:sz w:val="24"/>
          <w:szCs w:val="24"/>
        </w:rPr>
        <w:t>отравлений на</w:t>
      </w:r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 38,7%, рост от самоубийств на 85%.</w:t>
      </w:r>
    </w:p>
    <w:p w:rsidR="00AA1624" w:rsidRPr="00AA1624" w:rsidRDefault="00AA1624" w:rsidP="00AA162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6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2022г отмечается снижение показателя смертности от болезней системы кровообращения на 9,3 </w:t>
      </w:r>
      <w:proofErr w:type="gramStart"/>
      <w:r w:rsidRPr="00AA1624">
        <w:rPr>
          <w:rFonts w:ascii="Times New Roman" w:eastAsia="Calibri" w:hAnsi="Times New Roman" w:cs="Times New Roman"/>
          <w:sz w:val="24"/>
          <w:szCs w:val="24"/>
        </w:rPr>
        <w:t>%</w:t>
      </w:r>
      <w:r w:rsidRPr="00AA1624">
        <w:rPr>
          <w:rFonts w:ascii="Times New Roman" w:eastAsia="Calibri" w:hAnsi="Times New Roman" w:cs="Times New Roman"/>
          <w:color w:val="666666"/>
          <w:sz w:val="24"/>
          <w:szCs w:val="24"/>
        </w:rPr>
        <w:t>,,</w:t>
      </w:r>
      <w:proofErr w:type="gramEnd"/>
      <w:r w:rsidRPr="00AA1624">
        <w:rPr>
          <w:rFonts w:ascii="Times New Roman" w:eastAsia="Calibri" w:hAnsi="Times New Roman" w:cs="Times New Roman"/>
          <w:color w:val="666666"/>
          <w:sz w:val="24"/>
          <w:szCs w:val="24"/>
        </w:rPr>
        <w:t xml:space="preserve"> </w:t>
      </w:r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благодаря ежедневной работе специалистов амбулаторного и стационарного звена, преемственность в работе бригад скорой медицинской помощи и первичного сосудистого отделения. Из них лица старше 65 лет составляет 85,7% от всех умерших от ССС  </w:t>
      </w:r>
    </w:p>
    <w:p w:rsidR="00AA1624" w:rsidRPr="00AA1624" w:rsidRDefault="00AA1624" w:rsidP="00AA1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      Проводится </w:t>
      </w:r>
      <w:proofErr w:type="spellStart"/>
      <w:r w:rsidRPr="00AA1624">
        <w:rPr>
          <w:rFonts w:ascii="Times New Roman" w:eastAsia="Calibri" w:hAnsi="Times New Roman" w:cs="Times New Roman"/>
          <w:sz w:val="24"/>
          <w:szCs w:val="24"/>
        </w:rPr>
        <w:t>тромболизис</w:t>
      </w:r>
      <w:proofErr w:type="spellEnd"/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 на госпитальном этапе, что составило в 2021г –74 чел., в 2022 г – </w:t>
      </w:r>
      <w:r w:rsidRPr="00AA1624">
        <w:rPr>
          <w:rFonts w:ascii="Times New Roman" w:eastAsia="Calibri" w:hAnsi="Times New Roman" w:cs="Times New Roman"/>
          <w:sz w:val="24"/>
          <w:szCs w:val="24"/>
        </w:rPr>
        <w:t>67 чел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и  </w:t>
      </w:r>
      <w:proofErr w:type="spellStart"/>
      <w:r w:rsidRPr="00AA1624">
        <w:rPr>
          <w:rFonts w:ascii="Times New Roman" w:eastAsia="Calibri" w:hAnsi="Times New Roman" w:cs="Times New Roman"/>
          <w:sz w:val="24"/>
          <w:szCs w:val="24"/>
        </w:rPr>
        <w:t>тромболизис</w:t>
      </w:r>
      <w:proofErr w:type="spellEnd"/>
      <w:proofErr w:type="gramEnd"/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AA1624">
        <w:rPr>
          <w:rFonts w:ascii="Times New Roman" w:eastAsia="Calibri" w:hAnsi="Times New Roman" w:cs="Times New Roman"/>
          <w:sz w:val="24"/>
          <w:szCs w:val="24"/>
        </w:rPr>
        <w:t>догоспитальном</w:t>
      </w:r>
      <w:proofErr w:type="spellEnd"/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 этапе препаратом </w:t>
      </w:r>
      <w:proofErr w:type="spellStart"/>
      <w:r w:rsidRPr="00AA1624">
        <w:rPr>
          <w:rFonts w:ascii="Times New Roman" w:eastAsia="Calibri" w:hAnsi="Times New Roman" w:cs="Times New Roman"/>
          <w:sz w:val="24"/>
          <w:szCs w:val="24"/>
        </w:rPr>
        <w:t>фортелизин</w:t>
      </w:r>
      <w:proofErr w:type="spellEnd"/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  2022г- 30  чел   ; 2021г- 46 чел    . Проводится постоянная работа по усовершенствованию оказания медицинской помощи пациентам с ОКС и ОНМК. Распространено в течение двух месяцев 2022 года более 400 памяток о профилактике и ранней диагностике инсульта и инфаркта сотрудниками ОСМП и поликлиники, в поликлинике постоянно транслируется ролики о ЗОЖ. В социальных сетях, в СМИ публикации о ранней профилактике сердечно-сосудистых заболеваний.</w:t>
      </w:r>
    </w:p>
    <w:p w:rsidR="00AA1624" w:rsidRPr="00AA1624" w:rsidRDefault="00AA1624" w:rsidP="00AA1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      Отмечается увеличение показателя смертности от новообразований на 14,6 % (в сравнении с аналогичным периодом 2021г).</w:t>
      </w:r>
    </w:p>
    <w:p w:rsidR="00AA1624" w:rsidRPr="00AA1624" w:rsidRDefault="00AA1624" w:rsidP="00AA1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     Отмечается снижение показателей смертности от болезней дыхательной системы на 39,7 %.        Показатель смертности от болезней органов пищеварения снизился на 28,8%.</w:t>
      </w:r>
    </w:p>
    <w:p w:rsidR="00AA1624" w:rsidRPr="00AA1624" w:rsidRDefault="00AA1624" w:rsidP="00AA1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624">
        <w:rPr>
          <w:rFonts w:ascii="Times New Roman" w:eastAsia="Calibri" w:hAnsi="Times New Roman" w:cs="Times New Roman"/>
          <w:sz w:val="24"/>
          <w:szCs w:val="24"/>
        </w:rPr>
        <w:t xml:space="preserve">      От внешних причин показатель смертности увеличился на 10,2 %, снизился от инфекционных заболеваний на   4,5 %. </w:t>
      </w:r>
    </w:p>
    <w:p w:rsidR="00AA1624" w:rsidRDefault="00AA1624" w:rsidP="00AA1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624" w:rsidRPr="00AA1624" w:rsidRDefault="00AA1624" w:rsidP="00AA1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197" w:rsidRPr="004F6197" w:rsidRDefault="004F6197" w:rsidP="004F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«Мероприятия, направленные на привлечение молодых специалистов</w:t>
      </w:r>
    </w:p>
    <w:p w:rsidR="004F6197" w:rsidRPr="004F6197" w:rsidRDefault="004F6197" w:rsidP="004F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бюджетные учреждения здравоохранения города и о дополнительных мерах социальной поддержки для них»</w:t>
      </w:r>
    </w:p>
    <w:p w:rsidR="004F6197" w:rsidRPr="004F6197" w:rsidRDefault="004F6197" w:rsidP="004F61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197" w:rsidRPr="004F6197" w:rsidRDefault="004F6197" w:rsidP="004F61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привлечения молодых специалистов для работы в КГБУЗ «</w:t>
      </w:r>
      <w:proofErr w:type="spellStart"/>
      <w:r w:rsidRPr="004F61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Арсеньевская</w:t>
      </w:r>
      <w:proofErr w:type="spellEnd"/>
      <w:r w:rsidRPr="004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 была разработана программа развития кадрового потенциала на 2022-2024 годы, согласованная с министром здравоохранения Приморского края А.Г. </w:t>
      </w:r>
      <w:proofErr w:type="spellStart"/>
      <w:r w:rsidRPr="004F619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Худченко</w:t>
      </w:r>
      <w:proofErr w:type="spellEnd"/>
      <w:r w:rsidRPr="004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председателем профсоюзного комитета больницы.</w:t>
      </w:r>
    </w:p>
    <w:p w:rsidR="004F6197" w:rsidRPr="004F6197" w:rsidRDefault="004F6197" w:rsidP="004F61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6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4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являлось сохранение, повышение и развитие кадрового потенциала в КГБУЗ «</w:t>
      </w:r>
      <w:proofErr w:type="spellStart"/>
      <w:r w:rsidRPr="004F61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Арсеньевская</w:t>
      </w:r>
      <w:proofErr w:type="spellEnd"/>
      <w:r w:rsidRPr="004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 для улучшения качества и доступности, оказываемой медицинской помощи населению Арсеньевского городского округа и </w:t>
      </w:r>
      <w:proofErr w:type="spellStart"/>
      <w:r w:rsidRPr="004F619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4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Для достижения данной цели были выбраны следующие пути решения:</w:t>
      </w:r>
      <w:r w:rsidRPr="004F61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F6197" w:rsidRPr="004F6197" w:rsidRDefault="004F6197" w:rsidP="004F6197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Поэтапное устранение дефицита медицинских кадров. </w:t>
      </w:r>
    </w:p>
    <w:p w:rsidR="004F6197" w:rsidRPr="004F6197" w:rsidRDefault="004F6197" w:rsidP="004F6197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в кадровом составе молодых специалистов через адаптацию. Создание условий, способствующих повышению уровня профессиональной подготовки и приобретения компетенций у медицинских специалистов, адаптация молодых специалистов.</w:t>
      </w:r>
    </w:p>
    <w:p w:rsidR="004F6197" w:rsidRPr="004F6197" w:rsidRDefault="004F6197" w:rsidP="004F6197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оплаты труда медицинских работников в соответствие с объемами, сложностью и эффективностью оказания медицинской помощи.</w:t>
      </w:r>
    </w:p>
    <w:p w:rsidR="004F6197" w:rsidRPr="004F6197" w:rsidRDefault="004F6197" w:rsidP="004F6197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мер социальной поддержки медицинских работников.</w:t>
      </w:r>
    </w:p>
    <w:p w:rsidR="004F6197" w:rsidRPr="004F6197" w:rsidRDefault="004F6197" w:rsidP="004F6197">
      <w:pPr>
        <w:numPr>
          <w:ilvl w:val="0"/>
          <w:numId w:val="1"/>
        </w:num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по улучшению социально-бытовых условий медицинских работников и морально - психологического климата с целью повышения престижа профессии медицинского работника и снижения текучести кадров.</w:t>
      </w:r>
    </w:p>
    <w:p w:rsidR="004F6197" w:rsidRPr="004F6197" w:rsidRDefault="004F6197" w:rsidP="004F6197">
      <w:pPr>
        <w:numPr>
          <w:ilvl w:val="0"/>
          <w:numId w:val="1"/>
        </w:num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укомплектованности учреждения медицинскими кадрами (основными работниками).</w:t>
      </w:r>
    </w:p>
    <w:p w:rsidR="004F6197" w:rsidRPr="004F6197" w:rsidRDefault="004F6197" w:rsidP="004F61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Условно, мероприятия по реализации Программы можно разделить на 3 блока:</w:t>
      </w:r>
    </w:p>
    <w:p w:rsidR="004F6197" w:rsidRPr="004F6197" w:rsidRDefault="004F6197" w:rsidP="004F61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медицинской профессии;</w:t>
      </w:r>
    </w:p>
    <w:p w:rsidR="004F6197" w:rsidRPr="004F6197" w:rsidRDefault="004F6197" w:rsidP="004F61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 привлечение медицинских работников;</w:t>
      </w:r>
    </w:p>
    <w:p w:rsidR="004F6197" w:rsidRPr="004F6197" w:rsidRDefault="004F6197" w:rsidP="004F61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кадрового потенциала</w:t>
      </w:r>
    </w:p>
    <w:p w:rsidR="004F6197" w:rsidRPr="004F6197" w:rsidRDefault="004F6197" w:rsidP="004F61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Большая работа была проведена с учащимися 9-10 классов по популяризации медицинской профессии. </w:t>
      </w:r>
    </w:p>
    <w:p w:rsidR="004F6197" w:rsidRPr="004F6197" w:rsidRDefault="004F6197" w:rsidP="004F61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Большая работа была проведена с учащимися 9-10 классов по популяризации медицинской профессии. </w:t>
      </w:r>
    </w:p>
    <w:p w:rsidR="004F6197" w:rsidRPr="004F6197" w:rsidRDefault="004F6197" w:rsidP="004F61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Медицинские работники принимали участие в родительских собраниях 9-11 классов школ, расположенных на территории АГО и ЯМР. Были организованы встречи учащихся медицинского класса МОБУ СОШ № 10 с молодыми специалистами (врач-онколог, врач-педиатр участковый, медицинская сестра), прибывшими на работу в КГБУЗ «</w:t>
      </w:r>
      <w:proofErr w:type="spellStart"/>
      <w:r w:rsidRPr="004F6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Арсеньевская</w:t>
      </w:r>
      <w:proofErr w:type="spellEnd"/>
      <w:r w:rsidRPr="004F6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ГБ» в рамках профессиональной ориентации. В поликлиниках учреждения для знакомства учеников с работой медицинской организации проводились Дни открытых дверей (мастер-классы). Во время школьных каникул были привлечены учащиеся медицинского класса МОБУ СОШ № 10 к работе в поликлинике (взрослое отделение). </w:t>
      </w:r>
    </w:p>
    <w:p w:rsidR="004F6197" w:rsidRPr="004F6197" w:rsidRDefault="004F6197" w:rsidP="004F61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официальном сайте учреждения был опубликован Порядок конкурсного отбора для поступления в медицинские ВУЗы ПК по целевому набору. </w:t>
      </w:r>
    </w:p>
    <w:p w:rsidR="004F6197" w:rsidRPr="004F6197" w:rsidRDefault="004F6197" w:rsidP="004F61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Законом Приморского края от 23.11.2018 № 391-КЗ «О предоставлении мер социальной поддержки» в 2022 году медицинским работникам из средств краевого бюджета предоставлены </w:t>
      </w:r>
      <w:r w:rsidRPr="004F61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меры </w:t>
      </w:r>
      <w:r w:rsidRPr="004F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социальной поддержки на сумму 19 755 900,0 рублей:</w:t>
      </w:r>
    </w:p>
    <w:p w:rsidR="004F6197" w:rsidRPr="004F6197" w:rsidRDefault="004F6197" w:rsidP="004F61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F6197" w:rsidRPr="004F6197" w:rsidRDefault="004F6197" w:rsidP="004F61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ежемесячная денежная выплата молодым врачам-специалистам в размере 10,0 тыс. рублей;</w:t>
      </w:r>
    </w:p>
    <w:p w:rsidR="004F6197" w:rsidRPr="004F6197" w:rsidRDefault="004F6197" w:rsidP="004F61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единовременная денежная выплата предоставлена 5 врачам, 1 медицинской сестре, 1 акушерке;</w:t>
      </w:r>
    </w:p>
    <w:p w:rsidR="004F6197" w:rsidRPr="004F6197" w:rsidRDefault="004F6197" w:rsidP="004F61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денежная компенсация за наем (поднаем) жилых помещений (26 врачам и 29 медицинским сестрам, фельдшерам);</w:t>
      </w:r>
    </w:p>
    <w:p w:rsidR="004F6197" w:rsidRPr="004F6197" w:rsidRDefault="004F6197" w:rsidP="004F61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денежная выплата в размере 3,0 тыс. руб. за каждый впервые выявленный случай злокачественного новообразования на ранних стадиях;</w:t>
      </w:r>
    </w:p>
    <w:p w:rsidR="004F6197" w:rsidRPr="004F6197" w:rsidRDefault="004F6197" w:rsidP="004F61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ежемесячная денежная выплата наставникам молодых специалистов.</w:t>
      </w:r>
    </w:p>
    <w:p w:rsidR="004F6197" w:rsidRPr="004F6197" w:rsidRDefault="004F6197" w:rsidP="004F61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 внебюджетных средств учреждения затрачено 1 770 136,0 рублей, из которых 1 014 936,0 рублей на выплату стипендий и 755 200,0 рублей на аренду жилья, </w:t>
      </w:r>
      <w:proofErr w:type="gramStart"/>
      <w:r w:rsidRPr="004F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врачам</w:t>
      </w:r>
      <w:proofErr w:type="gramEnd"/>
      <w:r w:rsidRPr="004F6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подпадающим под действие закона о мерах соц. поддержки.</w:t>
      </w:r>
    </w:p>
    <w:p w:rsidR="004F6197" w:rsidRPr="004F6197" w:rsidRDefault="004F6197" w:rsidP="004F61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реализации Программы в 2022 году в разрезе</w:t>
      </w:r>
    </w:p>
    <w:p w:rsidR="004F6197" w:rsidRPr="004F6197" w:rsidRDefault="004F6197" w:rsidP="004F61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ключевых показателей эффективности</w:t>
      </w:r>
    </w:p>
    <w:p w:rsidR="004F6197" w:rsidRPr="004F6197" w:rsidRDefault="004F6197" w:rsidP="004F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559"/>
        <w:gridCol w:w="50"/>
        <w:gridCol w:w="1368"/>
        <w:gridCol w:w="1559"/>
      </w:tblGrid>
      <w:tr w:rsidR="004F6197" w:rsidRPr="004F6197" w:rsidTr="005E2261">
        <w:trPr>
          <w:jc w:val="center"/>
        </w:trPr>
        <w:tc>
          <w:tcPr>
            <w:tcW w:w="567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4" w:type="dxa"/>
            <w:vAlign w:val="center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Показатель эффективности</w:t>
            </w:r>
          </w:p>
        </w:tc>
        <w:tc>
          <w:tcPr>
            <w:tcW w:w="1559" w:type="dxa"/>
            <w:vAlign w:val="center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Значения на начало действия программы</w:t>
            </w:r>
          </w:p>
        </w:tc>
        <w:tc>
          <w:tcPr>
            <w:tcW w:w="1418" w:type="dxa"/>
            <w:gridSpan w:val="2"/>
            <w:vAlign w:val="center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Плановые значения  2022</w:t>
            </w:r>
          </w:p>
        </w:tc>
        <w:tc>
          <w:tcPr>
            <w:tcW w:w="1559" w:type="dxa"/>
            <w:vAlign w:val="center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Факт на 31.12.2022</w:t>
            </w:r>
          </w:p>
        </w:tc>
      </w:tr>
      <w:tr w:rsidR="004F6197" w:rsidRPr="004F6197" w:rsidTr="005E2261">
        <w:trPr>
          <w:jc w:val="center"/>
        </w:trPr>
        <w:tc>
          <w:tcPr>
            <w:tcW w:w="10207" w:type="dxa"/>
            <w:gridSpan w:val="6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укомплектованности:</w:t>
            </w:r>
          </w:p>
        </w:tc>
      </w:tr>
      <w:tr w:rsidR="004F6197" w:rsidRPr="004F6197" w:rsidTr="005E2261">
        <w:trPr>
          <w:trHeight w:val="712"/>
          <w:jc w:val="center"/>
        </w:trPr>
        <w:tc>
          <w:tcPr>
            <w:tcW w:w="567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4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Укомплектованность врачами (физическими лицами основными работниками), %.</w:t>
            </w:r>
          </w:p>
        </w:tc>
        <w:tc>
          <w:tcPr>
            <w:tcW w:w="1609" w:type="dxa"/>
            <w:gridSpan w:val="2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368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</w:tr>
      <w:tr w:rsidR="004F6197" w:rsidRPr="004F6197" w:rsidTr="005E2261">
        <w:trPr>
          <w:jc w:val="center"/>
        </w:trPr>
        <w:tc>
          <w:tcPr>
            <w:tcW w:w="567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Укомплектованность средним медицинским персоналом (физическими лицами основными работниками), %.</w:t>
            </w:r>
          </w:p>
        </w:tc>
        <w:tc>
          <w:tcPr>
            <w:tcW w:w="1609" w:type="dxa"/>
            <w:gridSpan w:val="2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368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</w:tr>
      <w:tr w:rsidR="004F6197" w:rsidRPr="004F6197" w:rsidTr="005E2261">
        <w:trPr>
          <w:jc w:val="center"/>
        </w:trPr>
        <w:tc>
          <w:tcPr>
            <w:tcW w:w="567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Arial Unicode MS" w:hAnsi="Times New Roman" w:cs="Times New Roman"/>
                <w:lang w:eastAsia="ru-RU"/>
              </w:rPr>
              <w:t xml:space="preserve">Укомплектованность фельдшерских пунктов, </w:t>
            </w:r>
            <w:proofErr w:type="spellStart"/>
            <w:r w:rsidRPr="004F6197">
              <w:rPr>
                <w:rFonts w:ascii="Times New Roman" w:eastAsia="Arial Unicode MS" w:hAnsi="Times New Roman" w:cs="Times New Roman"/>
                <w:lang w:eastAsia="ru-RU"/>
              </w:rPr>
              <w:t>фельдшерско</w:t>
            </w:r>
            <w:proofErr w:type="spellEnd"/>
            <w:r w:rsidRPr="004F6197">
              <w:rPr>
                <w:rFonts w:ascii="Times New Roman" w:eastAsia="Arial Unicode MS" w:hAnsi="Times New Roman" w:cs="Times New Roman"/>
                <w:lang w:eastAsia="ru-RU"/>
              </w:rPr>
              <w:t xml:space="preserve"> - акушерских пунктов, врачебных амбулаторий </w:t>
            </w:r>
            <w:proofErr w:type="spellStart"/>
            <w:r w:rsidRPr="004F6197">
              <w:rPr>
                <w:rFonts w:ascii="Times New Roman" w:eastAsia="Arial Unicode MS" w:hAnsi="Times New Roman" w:cs="Times New Roman"/>
                <w:lang w:eastAsia="ru-RU"/>
              </w:rPr>
              <w:t>Яковлевского</w:t>
            </w:r>
            <w:proofErr w:type="spellEnd"/>
            <w:r w:rsidRPr="004F6197">
              <w:rPr>
                <w:rFonts w:ascii="Times New Roman" w:eastAsia="Arial Unicode MS" w:hAnsi="Times New Roman" w:cs="Times New Roman"/>
                <w:lang w:eastAsia="ru-RU"/>
              </w:rPr>
              <w:t xml:space="preserve"> муниципального района  медицинскими работниками</w:t>
            </w: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, %.</w:t>
            </w:r>
          </w:p>
        </w:tc>
        <w:tc>
          <w:tcPr>
            <w:tcW w:w="1609" w:type="dxa"/>
            <w:gridSpan w:val="2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  <w:tc>
          <w:tcPr>
            <w:tcW w:w="1368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4F6197" w:rsidRPr="004F6197" w:rsidTr="005E2261">
        <w:trPr>
          <w:jc w:val="center"/>
        </w:trPr>
        <w:tc>
          <w:tcPr>
            <w:tcW w:w="567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</w:tcPr>
          <w:p w:rsidR="004F6197" w:rsidRPr="004F6197" w:rsidRDefault="004F6197" w:rsidP="004F6197">
            <w:pPr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  <w:r w:rsidRPr="004F6197">
              <w:rPr>
                <w:rFonts w:ascii="Times New Roman" w:eastAsia="Arial Unicode MS" w:hAnsi="Times New Roman" w:cs="Times New Roman"/>
                <w:lang w:eastAsia="ru-RU"/>
              </w:rPr>
              <w:t>Обеспеченность населения врачами,  чел. на 10 тыс. населения</w:t>
            </w:r>
          </w:p>
        </w:tc>
        <w:tc>
          <w:tcPr>
            <w:tcW w:w="1609" w:type="dxa"/>
            <w:gridSpan w:val="2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1368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</w:tr>
      <w:tr w:rsidR="004F6197" w:rsidRPr="004F6197" w:rsidTr="005E2261">
        <w:trPr>
          <w:jc w:val="center"/>
        </w:trPr>
        <w:tc>
          <w:tcPr>
            <w:tcW w:w="567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</w:tcPr>
          <w:p w:rsidR="004F6197" w:rsidRPr="004F6197" w:rsidRDefault="004F6197" w:rsidP="004F6197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4F6197">
              <w:rPr>
                <w:rFonts w:ascii="Times New Roman" w:eastAsia="Arial Unicode MS" w:hAnsi="Times New Roman" w:cs="Times New Roman"/>
                <w:lang w:eastAsia="ru-RU"/>
              </w:rPr>
              <w:t>Обеспеченность средними медицинскими работниками, чел. на 10 тыс. населения</w:t>
            </w:r>
          </w:p>
        </w:tc>
        <w:tc>
          <w:tcPr>
            <w:tcW w:w="1609" w:type="dxa"/>
            <w:gridSpan w:val="2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1368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</w:tr>
      <w:tr w:rsidR="004F6197" w:rsidRPr="004F6197" w:rsidTr="005E2261">
        <w:trPr>
          <w:jc w:val="center"/>
        </w:trPr>
        <w:tc>
          <w:tcPr>
            <w:tcW w:w="567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Arial Unicode MS" w:hAnsi="Times New Roman" w:cs="Times New Roman"/>
                <w:lang w:eastAsia="ru-RU"/>
              </w:rPr>
              <w:t>Обеспеченность медицинскими работниками, оказывающими скорую медицинскую  помощь, чел. на 10 тыс. населения</w:t>
            </w:r>
          </w:p>
        </w:tc>
        <w:tc>
          <w:tcPr>
            <w:tcW w:w="1609" w:type="dxa"/>
            <w:gridSpan w:val="2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1368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4F6197" w:rsidRPr="004F6197" w:rsidTr="005E2261">
        <w:trPr>
          <w:jc w:val="center"/>
        </w:trPr>
        <w:tc>
          <w:tcPr>
            <w:tcW w:w="10207" w:type="dxa"/>
            <w:gridSpan w:val="6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уровня квалификации медицинских работников, подготовка специалистов с высшим и средним медицинским образованием.</w:t>
            </w:r>
          </w:p>
        </w:tc>
      </w:tr>
      <w:tr w:rsidR="004F6197" w:rsidRPr="004F6197" w:rsidTr="005E2261">
        <w:trPr>
          <w:jc w:val="center"/>
        </w:trPr>
        <w:tc>
          <w:tcPr>
            <w:tcW w:w="567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Увеличение доли врачей, имеющих квалификационную категорию, %.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gridSpan w:val="2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F6197" w:rsidRPr="004F6197" w:rsidTr="005E2261">
        <w:trPr>
          <w:jc w:val="center"/>
        </w:trPr>
        <w:tc>
          <w:tcPr>
            <w:tcW w:w="567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Увеличение доли средних медицинских работников, имеющих квалификационную категорию, %.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gridSpan w:val="2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</w:tr>
      <w:tr w:rsidR="004F6197" w:rsidRPr="004F6197" w:rsidTr="005E2261">
        <w:trPr>
          <w:jc w:val="center"/>
        </w:trPr>
        <w:tc>
          <w:tcPr>
            <w:tcW w:w="567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4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Доля медицинских работников, вовлеченных в систему непрерывного медицинского образования, в том числе с использованием дистанционных образовательных технологий, %.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8" w:type="dxa"/>
            <w:gridSpan w:val="2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4F6197" w:rsidRPr="004F6197" w:rsidTr="005E2261">
        <w:trPr>
          <w:jc w:val="center"/>
        </w:trPr>
        <w:tc>
          <w:tcPr>
            <w:tcW w:w="567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4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Число абитуриентов направленных на целевую подготовку по программам высшего профессионального образования ежегодно, чел.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gridSpan w:val="2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F6197" w:rsidRPr="004F6197" w:rsidTr="005E2261">
        <w:trPr>
          <w:jc w:val="center"/>
        </w:trPr>
        <w:tc>
          <w:tcPr>
            <w:tcW w:w="567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4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Число абитуриентов, направленных на целевую подготовку по программам  послевузовского профессионального образования ежегодно (ординатура), чел.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F6197" w:rsidRPr="004F6197" w:rsidTr="005E2261">
        <w:trPr>
          <w:jc w:val="center"/>
        </w:trPr>
        <w:tc>
          <w:tcPr>
            <w:tcW w:w="567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4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Доля медицинских специалистов, обучавшихся в рамках целевой подготовки и трудоустроившихся после завершения обучения в КГБУЗ «</w:t>
            </w:r>
            <w:proofErr w:type="spellStart"/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Арсеньевская</w:t>
            </w:r>
            <w:proofErr w:type="spellEnd"/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 xml:space="preserve"> ГБ», %.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418" w:type="dxa"/>
            <w:gridSpan w:val="2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F6197" w:rsidRPr="004F6197" w:rsidTr="005E2261">
        <w:trPr>
          <w:jc w:val="center"/>
        </w:trPr>
        <w:tc>
          <w:tcPr>
            <w:tcW w:w="10207" w:type="dxa"/>
            <w:gridSpan w:val="6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поддержка медицинских работников. Повышение престижа профессии врача и среднего медицинского работника.</w:t>
            </w:r>
          </w:p>
        </w:tc>
      </w:tr>
      <w:tr w:rsidR="004F6197" w:rsidRPr="004F6197" w:rsidTr="005E2261">
        <w:trPr>
          <w:jc w:val="center"/>
        </w:trPr>
        <w:tc>
          <w:tcPr>
            <w:tcW w:w="567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4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Количество привлеченных молодых специалистов для работы в учреждении, чел.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gridSpan w:val="2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F6197" w:rsidRPr="004F6197" w:rsidTr="005E2261">
        <w:trPr>
          <w:jc w:val="center"/>
        </w:trPr>
        <w:tc>
          <w:tcPr>
            <w:tcW w:w="567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4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Доля медицинских работников, которым фактически предоставлены меры социальной поддержки, в общей численности привлеченных молодых специалистов, %.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8" w:type="dxa"/>
            <w:gridSpan w:val="2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4F6197" w:rsidRPr="004F6197" w:rsidTr="005E2261">
        <w:trPr>
          <w:jc w:val="center"/>
        </w:trPr>
        <w:tc>
          <w:tcPr>
            <w:tcW w:w="567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4" w:type="dxa"/>
          </w:tcPr>
          <w:p w:rsidR="004F6197" w:rsidRPr="004F6197" w:rsidRDefault="004F6197" w:rsidP="004F6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Число мероприятий по повышению престижа профессии, улучшению социально-бытовых условий и морально-психологического климата в КГБУЗ «</w:t>
            </w:r>
            <w:proofErr w:type="spellStart"/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Арсеньевская</w:t>
            </w:r>
            <w:proofErr w:type="spellEnd"/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 xml:space="preserve"> ГБ», кол-во.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gridSpan w:val="2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4F6197" w:rsidRPr="004F6197" w:rsidRDefault="004F6197" w:rsidP="004F6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AA1624" w:rsidRDefault="00AA1624">
      <w:bookmarkStart w:id="0" w:name="_GoBack"/>
      <w:bookmarkEnd w:id="0"/>
    </w:p>
    <w:p w:rsidR="00AA1624" w:rsidRDefault="00AA1624"/>
    <w:sectPr w:rsidR="00AA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761E"/>
    <w:multiLevelType w:val="hybridMultilevel"/>
    <w:tmpl w:val="2750A43A"/>
    <w:lvl w:ilvl="0" w:tplc="0419000F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24"/>
    <w:rsid w:val="000E02B8"/>
    <w:rsid w:val="004F6197"/>
    <w:rsid w:val="00A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FDFF"/>
  <w15:chartTrackingRefBased/>
  <w15:docId w15:val="{F0EBCBD9-7F19-43DF-87FF-90C81A20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 ВИВОБУК МАКС</dc:creator>
  <cp:keywords/>
  <dc:description/>
  <cp:lastModifiedBy>АСУС ВИВОБУК МАКС</cp:lastModifiedBy>
  <cp:revision>1</cp:revision>
  <dcterms:created xsi:type="dcterms:W3CDTF">2023-03-24T00:21:00Z</dcterms:created>
  <dcterms:modified xsi:type="dcterms:W3CDTF">2023-03-24T00:50:00Z</dcterms:modified>
</cp:coreProperties>
</file>