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C2" w:rsidRDefault="001D31C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D31C2" w:rsidRDefault="001D31C2">
      <w:pPr>
        <w:sectPr w:rsidR="001D31C2">
          <w:headerReference w:type="default" r:id="rId7"/>
          <w:pgSz w:w="11906" w:h="16838"/>
          <w:pgMar w:top="284" w:right="851" w:bottom="1134" w:left="1418" w:header="0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1D31C2">
        <w:trPr>
          <w:trHeight w:hRule="exact" w:val="1239"/>
          <w:jc w:val="center"/>
        </w:trPr>
        <w:tc>
          <w:tcPr>
            <w:tcW w:w="8793" w:type="dxa"/>
          </w:tcPr>
          <w:p w:rsidR="001D31C2" w:rsidRDefault="00243B10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1C2">
        <w:trPr>
          <w:trHeight w:val="1001"/>
          <w:jc w:val="center"/>
        </w:trPr>
        <w:tc>
          <w:tcPr>
            <w:tcW w:w="8793" w:type="dxa"/>
          </w:tcPr>
          <w:p w:rsidR="001D31C2" w:rsidRDefault="00243B10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300355" cy="210820"/>
                      <wp:effectExtent l="12700" t="15240" r="20955" b="12700"/>
                      <wp:wrapNone/>
                      <wp:docPr id="2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80" cy="210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D31C2" w:rsidRDefault="00243B10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1D31C2">
        <w:trPr>
          <w:trHeight w:val="363"/>
          <w:jc w:val="center"/>
        </w:trPr>
        <w:tc>
          <w:tcPr>
            <w:tcW w:w="8793" w:type="dxa"/>
          </w:tcPr>
          <w:p w:rsidR="001D31C2" w:rsidRDefault="00243B10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1D31C2" w:rsidRDefault="001D31C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D31C2" w:rsidRDefault="001D31C2">
      <w:pPr>
        <w:ind w:left="-124" w:right="-108" w:firstLine="0"/>
        <w:jc w:val="center"/>
        <w:rPr>
          <w:color w:val="000000"/>
          <w:sz w:val="24"/>
          <w:szCs w:val="24"/>
        </w:rPr>
      </w:pPr>
    </w:p>
    <w:p w:rsidR="001D31C2" w:rsidRDefault="001D31C2">
      <w:pPr>
        <w:sectPr w:rsidR="001D31C2">
          <w:type w:val="continuous"/>
          <w:pgSz w:w="11906" w:h="16838"/>
          <w:pgMar w:top="284" w:right="851" w:bottom="1134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5"/>
        <w:gridCol w:w="4916"/>
        <w:gridCol w:w="509"/>
        <w:gridCol w:w="1173"/>
      </w:tblGrid>
      <w:tr w:rsidR="001D31C2">
        <w:trPr>
          <w:jc w:val="center"/>
        </w:trPr>
        <w:tc>
          <w:tcPr>
            <w:tcW w:w="2195" w:type="dxa"/>
            <w:tcBorders>
              <w:bottom w:val="single" w:sz="4" w:space="0" w:color="000000"/>
            </w:tcBorders>
          </w:tcPr>
          <w:p w:rsidR="001D31C2" w:rsidRDefault="002E18E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декабря 2022 г.</w:t>
            </w:r>
          </w:p>
        </w:tc>
        <w:tc>
          <w:tcPr>
            <w:tcW w:w="4915" w:type="dxa"/>
          </w:tcPr>
          <w:p w:rsidR="001D31C2" w:rsidRDefault="00243B10">
            <w:pPr>
              <w:ind w:left="-295" w:right="131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1D31C2" w:rsidRDefault="00243B1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1D31C2" w:rsidRDefault="002E18E8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748-па</w:t>
            </w:r>
          </w:p>
        </w:tc>
      </w:tr>
    </w:tbl>
    <w:p w:rsidR="001D31C2" w:rsidRDefault="001D31C2">
      <w:pPr>
        <w:tabs>
          <w:tab w:val="left" w:pos="8041"/>
        </w:tabs>
        <w:ind w:firstLine="748"/>
      </w:pPr>
    </w:p>
    <w:p w:rsidR="001D31C2" w:rsidRDefault="001D31C2">
      <w:pPr>
        <w:sectPr w:rsidR="001D31C2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1D31C2" w:rsidRDefault="001D31C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D31C2" w:rsidRDefault="00243B10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  <w:bookmarkStart w:id="0" w:name="_GoBack"/>
      <w:bookmarkEnd w:id="0"/>
    </w:p>
    <w:p w:rsidR="001D31C2" w:rsidRDefault="00243B10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1D31C2" w:rsidRDefault="001D31C2">
      <w:pPr>
        <w:sectPr w:rsidR="001D31C2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1D31C2" w:rsidRDefault="001D31C2">
      <w:pPr>
        <w:tabs>
          <w:tab w:val="left" w:pos="8041"/>
        </w:tabs>
        <w:rPr>
          <w:sz w:val="24"/>
          <w:szCs w:val="24"/>
        </w:rPr>
      </w:pPr>
    </w:p>
    <w:p w:rsidR="001D31C2" w:rsidRDefault="001D31C2">
      <w:pPr>
        <w:sectPr w:rsidR="001D31C2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1D31C2" w:rsidRDefault="001D31C2">
      <w:pPr>
        <w:tabs>
          <w:tab w:val="left" w:pos="8041"/>
        </w:tabs>
        <w:rPr>
          <w:sz w:val="24"/>
          <w:szCs w:val="24"/>
        </w:rPr>
      </w:pPr>
    </w:p>
    <w:p w:rsidR="001D31C2" w:rsidRDefault="00243B10">
      <w:pPr>
        <w:tabs>
          <w:tab w:val="left" w:pos="8041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 xml:space="preserve"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1D31C2" w:rsidRDefault="001D31C2">
      <w:pPr>
        <w:tabs>
          <w:tab w:val="left" w:pos="8041"/>
        </w:tabs>
        <w:rPr>
          <w:rFonts w:eastAsia="SimSun;宋体"/>
          <w:color w:val="000000"/>
        </w:rPr>
      </w:pPr>
    </w:p>
    <w:p w:rsidR="001D31C2" w:rsidRDefault="001D31C2">
      <w:pPr>
        <w:tabs>
          <w:tab w:val="left" w:pos="8041"/>
        </w:tabs>
        <w:rPr>
          <w:rFonts w:eastAsia="SimSun;宋体"/>
          <w:color w:val="000000"/>
        </w:rPr>
      </w:pPr>
    </w:p>
    <w:p w:rsidR="001D31C2" w:rsidRDefault="00243B1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1D31C2" w:rsidRDefault="001D31C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C02AEB" w:rsidRDefault="00243B10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 xml:space="preserve">1. Внести в схему размещения нестационарных торговых объектов на территории Арсеньевского городского округа, утвержденную постановлением администрации Арсеньевского городского округа от 25 марта 2019 года № 196-па (в редакции постановлений администрации городского округа от 14 июня 2019 года № 410-па, от 15 августа 2019 года  № 600-па, от 12 декабря 2019 года  № 922-па, от 25 февраля 2020 года         № 104-па, от 26 июня  2020 года  № 371-па, от 25 февраля 2021 года № 87-па, от 20 апреля 2021 года № 198-па, от 28 октября 2021 года № 533-па, от 31 января 2022 года № 42-па,     от 25 апреля 2022 года № 238-па,  от 11 июля 2022 года № 408-па, от 19 июля 2022 года   № 420-па, от 25 июля 2022 года № 430-па, от 02 августа 2022 года № 447-па, от 23 августа </w:t>
      </w:r>
    </w:p>
    <w:p w:rsidR="00C02AEB" w:rsidRDefault="00C02AEB" w:rsidP="00C02AEB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C02AEB" w:rsidRDefault="00C02AEB" w:rsidP="00C02AEB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C02AEB" w:rsidRDefault="00C02AEB" w:rsidP="00C02AEB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1D31C2" w:rsidRDefault="00243B10" w:rsidP="00C02AEB">
      <w:pPr>
        <w:widowControl/>
        <w:spacing w:line="360" w:lineRule="auto"/>
        <w:ind w:firstLine="0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 xml:space="preserve">2022 года № 491-па, от 29 августа </w:t>
      </w:r>
      <w:r w:rsidR="00C02AEB" w:rsidRPr="00C02AEB">
        <w:rPr>
          <w:rFonts w:eastAsia="SimSun;宋体"/>
          <w:color w:val="000000"/>
          <w:sz w:val="25"/>
          <w:szCs w:val="25"/>
        </w:rPr>
        <w:t xml:space="preserve">2022 года </w:t>
      </w:r>
      <w:r>
        <w:rPr>
          <w:rFonts w:eastAsia="SimSun;宋体"/>
          <w:color w:val="000000"/>
          <w:sz w:val="25"/>
          <w:szCs w:val="25"/>
        </w:rPr>
        <w:t xml:space="preserve">№ 504-па, от 16 ноября 2022 года № 643-па), </w:t>
      </w:r>
      <w:r>
        <w:rPr>
          <w:szCs w:val="28"/>
        </w:rPr>
        <w:t>следующие изменения:</w:t>
      </w:r>
    </w:p>
    <w:p w:rsidR="001D31C2" w:rsidRDefault="00243B10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1.1</w:t>
      </w:r>
      <w:r>
        <w:rPr>
          <w:color w:val="000000"/>
          <w:szCs w:val="26"/>
        </w:rPr>
        <w:t xml:space="preserve">. Заменить в пункте 5 в графе 8 «Информация о свободных и занятых местах размещения НТО» слово «свободно» словом «занято». </w:t>
      </w:r>
    </w:p>
    <w:p w:rsidR="001D31C2" w:rsidRDefault="00243B10">
      <w:pPr>
        <w:pStyle w:val="Standard"/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color w:val="000000"/>
          <w:szCs w:val="26"/>
        </w:rPr>
        <w:t xml:space="preserve">1.2. </w:t>
      </w:r>
      <w:r>
        <w:rPr>
          <w:szCs w:val="28"/>
        </w:rPr>
        <w:t xml:space="preserve">Добавить в пункте 5 в графе 9 </w:t>
      </w:r>
      <w:r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«Курманов Александр Петрович», ИНН </w:t>
      </w:r>
      <w:r>
        <w:rPr>
          <w:sz w:val="24"/>
          <w:szCs w:val="24"/>
        </w:rPr>
        <w:t>250100188593».</w:t>
      </w:r>
    </w:p>
    <w:p w:rsidR="001D31C2" w:rsidRDefault="00243B10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1.3</w:t>
      </w:r>
      <w:r>
        <w:rPr>
          <w:color w:val="000000"/>
          <w:szCs w:val="26"/>
        </w:rPr>
        <w:t xml:space="preserve">. Заменить в пункте </w:t>
      </w:r>
      <w:r w:rsidR="00C02AEB" w:rsidRPr="00C02AEB">
        <w:rPr>
          <w:color w:val="000000"/>
          <w:szCs w:val="26"/>
        </w:rPr>
        <w:t>36</w:t>
      </w:r>
      <w:r>
        <w:rPr>
          <w:color w:val="000000"/>
          <w:szCs w:val="26"/>
        </w:rPr>
        <w:t xml:space="preserve"> в графе 8 «Информация о свободных и занятых местах размещения НТО» слово «свободно» словом «занято». </w:t>
      </w:r>
    </w:p>
    <w:p w:rsidR="001D31C2" w:rsidRDefault="00243B10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color w:val="000000"/>
          <w:szCs w:val="26"/>
        </w:rPr>
        <w:t xml:space="preserve">1.4. </w:t>
      </w:r>
      <w:r>
        <w:rPr>
          <w:szCs w:val="28"/>
        </w:rPr>
        <w:t xml:space="preserve">Добавить в пункте </w:t>
      </w:r>
      <w:r w:rsidR="00C02AEB" w:rsidRPr="00C02AEB">
        <w:rPr>
          <w:szCs w:val="28"/>
        </w:rPr>
        <w:t>36</w:t>
      </w:r>
      <w:r>
        <w:rPr>
          <w:szCs w:val="28"/>
        </w:rPr>
        <w:t xml:space="preserve"> в графе 9 </w:t>
      </w:r>
      <w:r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«Курманов Александр Петрович», ИНН </w:t>
      </w:r>
      <w:r>
        <w:rPr>
          <w:sz w:val="24"/>
          <w:szCs w:val="24"/>
        </w:rPr>
        <w:t>250100188593».</w:t>
      </w:r>
    </w:p>
    <w:p w:rsidR="001D31C2" w:rsidRDefault="00243B10">
      <w:pPr>
        <w:widowControl/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1.5. Дополнить </w:t>
      </w:r>
      <w:r>
        <w:rPr>
          <w:bCs/>
          <w:color w:val="000000"/>
          <w:szCs w:val="28"/>
        </w:rPr>
        <w:t>Схему</w:t>
      </w:r>
      <w:r>
        <w:rPr>
          <w:color w:val="000000"/>
          <w:szCs w:val="26"/>
        </w:rPr>
        <w:t xml:space="preserve"> </w:t>
      </w:r>
      <w:r>
        <w:rPr>
          <w:bCs/>
          <w:color w:val="000000"/>
          <w:szCs w:val="28"/>
        </w:rPr>
        <w:t xml:space="preserve">размещения нестационарных торговых объектов на </w:t>
      </w:r>
    </w:p>
    <w:p w:rsidR="001D31C2" w:rsidRDefault="00243B10">
      <w:pPr>
        <w:widowControl/>
        <w:spacing w:line="360" w:lineRule="auto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территории Арсеньевского городского округа пунктами 121-122 следующего содержания:</w:t>
      </w:r>
    </w:p>
    <w:p w:rsidR="001D31C2" w:rsidRDefault="00243B10">
      <w:pPr>
        <w:widowControl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775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851"/>
        <w:gridCol w:w="1276"/>
        <w:gridCol w:w="851"/>
        <w:gridCol w:w="708"/>
        <w:gridCol w:w="1135"/>
        <w:gridCol w:w="1276"/>
        <w:gridCol w:w="1417"/>
      </w:tblGrid>
      <w:tr w:rsidR="001D31C2">
        <w:trPr>
          <w:trHeight w:val="200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п/п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размещения нестационарного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торгового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объекта 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(далее - НТО)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(адресные</w:t>
            </w:r>
            <w:r>
              <w:rPr>
                <w:color w:val="000000"/>
                <w:sz w:val="20"/>
              </w:rPr>
              <w:br/>
              <w:t>ориентиры)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Периоды размещения 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НТО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Специализация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1D31C2" w:rsidRDefault="001D31C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Пло-щадь</w:t>
            </w:r>
            <w:proofErr w:type="spellEnd"/>
            <w:r>
              <w:rPr>
                <w:color w:val="000000"/>
                <w:sz w:val="20"/>
              </w:rPr>
              <w:br/>
              <w:t>НТО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кв.м</w:t>
            </w:r>
            <w:proofErr w:type="spellEnd"/>
            <w:proofErr w:type="gramEnd"/>
            <w:r>
              <w:rPr>
                <w:color w:val="000000"/>
                <w:sz w:val="20"/>
              </w:rPr>
              <w:t>)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Пло-щадь</w:t>
            </w:r>
            <w:proofErr w:type="spellEnd"/>
            <w:r>
              <w:rPr>
                <w:color w:val="000000"/>
                <w:sz w:val="20"/>
              </w:rPr>
              <w:t xml:space="preserve"> земель-</w:t>
            </w:r>
            <w:proofErr w:type="spellStart"/>
            <w:r>
              <w:rPr>
                <w:color w:val="000000"/>
                <w:sz w:val="20"/>
              </w:rPr>
              <w:t>ного</w:t>
            </w:r>
            <w:proofErr w:type="spellEnd"/>
            <w:r>
              <w:rPr>
                <w:color w:val="000000"/>
                <w:sz w:val="20"/>
              </w:rPr>
              <w:t xml:space="preserve"> участка для размещения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кв.м</w:t>
            </w:r>
            <w:proofErr w:type="spellEnd"/>
            <w:proofErr w:type="gramEnd"/>
            <w:r>
              <w:rPr>
                <w:color w:val="000000"/>
                <w:sz w:val="20"/>
              </w:rPr>
              <w:t>)</w:t>
            </w:r>
          </w:p>
          <w:p w:rsidR="001D31C2" w:rsidRDefault="001D31C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о свободных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размеще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НТО</w:t>
            </w:r>
          </w:p>
          <w:p w:rsidR="001D31C2" w:rsidRDefault="00243B10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(в при-</w:t>
            </w:r>
            <w:proofErr w:type="spellStart"/>
            <w:r>
              <w:rPr>
                <w:color w:val="000000"/>
                <w:sz w:val="20"/>
              </w:rPr>
              <w:t>мечании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proofErr w:type="gramStart"/>
            <w:r>
              <w:rPr>
                <w:color w:val="000000"/>
                <w:sz w:val="20"/>
              </w:rPr>
              <w:t>индивидуаль-ного</w:t>
            </w:r>
            <w:proofErr w:type="spellEnd"/>
            <w:proofErr w:type="gramEnd"/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предпринимателя</w:t>
            </w:r>
          </w:p>
          <w:p w:rsidR="001D31C2" w:rsidRDefault="001D31C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местной системе координат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МСК-25</w:t>
            </w:r>
          </w:p>
          <w:p w:rsidR="001D31C2" w:rsidRDefault="001D31C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1D31C2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D31C2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left="13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Островского, </w:t>
            </w:r>
          </w:p>
          <w:p w:rsidR="001D31C2" w:rsidRDefault="00243B10">
            <w:pPr>
              <w:pStyle w:val="Standard"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 районе жилого дома № 4/1 (перед павильонами)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лотка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1D31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овощи, фрукты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5,2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1D31C2" w:rsidRDefault="001D31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C2" w:rsidRDefault="001D31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C2" w:rsidRDefault="00243B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-</w:t>
            </w:r>
          </w:p>
        </w:tc>
      </w:tr>
      <w:tr w:rsidR="001D31C2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left="13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Ломоносова, район кинотеатра «Космос»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snapToGrid w:val="0"/>
              <w:ind w:left="-288" w:firstLine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поп-корн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1D31C2" w:rsidRDefault="00243B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вата, кукуруза,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товары, игрушки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right="-14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32,5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1D31C2" w:rsidRDefault="001D31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C2" w:rsidRDefault="001D31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C2" w:rsidRDefault="00243B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-</w:t>
            </w:r>
          </w:p>
        </w:tc>
      </w:tr>
    </w:tbl>
    <w:p w:rsidR="001D31C2" w:rsidRDefault="001D31C2">
      <w:pPr>
        <w:widowControl/>
        <w:spacing w:line="360" w:lineRule="auto"/>
        <w:ind w:firstLine="0"/>
        <w:rPr>
          <w:color w:val="000000"/>
          <w:szCs w:val="26"/>
        </w:rPr>
      </w:pPr>
    </w:p>
    <w:p w:rsidR="001D31C2" w:rsidRDefault="00243B10">
      <w:pPr>
        <w:widowControl/>
        <w:spacing w:line="360" w:lineRule="auto"/>
        <w:ind w:firstLine="851"/>
        <w:rPr>
          <w:color w:val="000000"/>
          <w:szCs w:val="26"/>
        </w:rPr>
      </w:pPr>
      <w:r>
        <w:rPr>
          <w:color w:val="000000"/>
          <w:szCs w:val="26"/>
        </w:rPr>
        <w:t xml:space="preserve">1.6. Исключить из </w:t>
      </w:r>
      <w:r>
        <w:rPr>
          <w:bCs/>
          <w:color w:val="000000"/>
          <w:szCs w:val="28"/>
        </w:rPr>
        <w:t>Схемы</w:t>
      </w:r>
      <w:r>
        <w:rPr>
          <w:color w:val="000000"/>
          <w:szCs w:val="26"/>
        </w:rPr>
        <w:t xml:space="preserve"> </w:t>
      </w:r>
      <w:r>
        <w:rPr>
          <w:bCs/>
          <w:color w:val="000000"/>
          <w:szCs w:val="28"/>
        </w:rPr>
        <w:t xml:space="preserve">размещения нестационарных торговых объектов на </w:t>
      </w:r>
    </w:p>
    <w:p w:rsidR="00C02AEB" w:rsidRDefault="00C02AEB">
      <w:pPr>
        <w:widowControl/>
        <w:spacing w:line="360" w:lineRule="auto"/>
        <w:ind w:firstLine="0"/>
        <w:rPr>
          <w:bCs/>
          <w:color w:val="000000"/>
          <w:szCs w:val="28"/>
        </w:rPr>
      </w:pPr>
    </w:p>
    <w:p w:rsidR="00C02AEB" w:rsidRDefault="00C02AEB">
      <w:pPr>
        <w:widowControl/>
        <w:spacing w:line="360" w:lineRule="auto"/>
        <w:ind w:firstLine="0"/>
        <w:rPr>
          <w:bCs/>
          <w:color w:val="000000"/>
          <w:szCs w:val="28"/>
        </w:rPr>
      </w:pPr>
    </w:p>
    <w:p w:rsidR="00C02AEB" w:rsidRDefault="00C02AEB">
      <w:pPr>
        <w:widowControl/>
        <w:spacing w:line="360" w:lineRule="auto"/>
        <w:ind w:firstLine="0"/>
        <w:rPr>
          <w:bCs/>
          <w:color w:val="000000"/>
          <w:szCs w:val="28"/>
        </w:rPr>
      </w:pPr>
    </w:p>
    <w:p w:rsidR="001D31C2" w:rsidRDefault="00243B10">
      <w:pPr>
        <w:widowControl/>
        <w:spacing w:line="360" w:lineRule="auto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территории Арсеньевского городского округа заголовок «Нестационарные торговые объекты сезонного функционирования».</w:t>
      </w:r>
    </w:p>
    <w:p w:rsidR="001D31C2" w:rsidRDefault="00243B10">
      <w:pPr>
        <w:widowControl/>
        <w:spacing w:line="360" w:lineRule="auto"/>
        <w:rPr>
          <w:szCs w:val="26"/>
        </w:rPr>
      </w:pPr>
      <w:r>
        <w:rPr>
          <w:bCs/>
          <w:color w:val="000000"/>
          <w:szCs w:val="28"/>
        </w:rPr>
        <w:t xml:space="preserve">1.7. </w:t>
      </w:r>
      <w:r>
        <w:rPr>
          <w:szCs w:val="26"/>
        </w:rPr>
        <w:t xml:space="preserve">Изложить пункт 101 в следующей редакции: </w:t>
      </w:r>
    </w:p>
    <w:tbl>
      <w:tblPr>
        <w:tblW w:w="10632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01"/>
        <w:gridCol w:w="1133"/>
        <w:gridCol w:w="1135"/>
        <w:gridCol w:w="849"/>
        <w:gridCol w:w="852"/>
        <w:gridCol w:w="708"/>
        <w:gridCol w:w="1133"/>
        <w:gridCol w:w="1276"/>
        <w:gridCol w:w="1418"/>
      </w:tblGrid>
      <w:tr w:rsidR="001D31C2">
        <w:trPr>
          <w:trHeight w:val="20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п/п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размещения нестационарного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торгового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объекта 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(далее - НТО)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(адресные</w:t>
            </w:r>
            <w:r>
              <w:rPr>
                <w:color w:val="000000"/>
                <w:sz w:val="20"/>
              </w:rPr>
              <w:br/>
              <w:t>ориентиры)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Периоды размещения 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НТО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Специализация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1D31C2" w:rsidRDefault="001D31C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Пло-щадь</w:t>
            </w:r>
            <w:proofErr w:type="spellEnd"/>
            <w:r>
              <w:rPr>
                <w:color w:val="000000"/>
                <w:sz w:val="20"/>
              </w:rPr>
              <w:br/>
              <w:t>НТО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кв.м</w:t>
            </w:r>
            <w:proofErr w:type="spellEnd"/>
            <w:proofErr w:type="gramEnd"/>
            <w:r>
              <w:rPr>
                <w:color w:val="000000"/>
                <w:sz w:val="20"/>
              </w:rPr>
              <w:t>)</w:t>
            </w:r>
          </w:p>
          <w:p w:rsidR="001D31C2" w:rsidRDefault="001D31C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Пло-щадь</w:t>
            </w:r>
            <w:proofErr w:type="spellEnd"/>
            <w:r>
              <w:rPr>
                <w:color w:val="000000"/>
                <w:sz w:val="20"/>
              </w:rPr>
              <w:t xml:space="preserve"> земель-</w:t>
            </w:r>
            <w:proofErr w:type="spellStart"/>
            <w:r>
              <w:rPr>
                <w:color w:val="000000"/>
                <w:sz w:val="20"/>
              </w:rPr>
              <w:t>ного</w:t>
            </w:r>
            <w:proofErr w:type="spellEnd"/>
            <w:r>
              <w:rPr>
                <w:color w:val="000000"/>
                <w:sz w:val="20"/>
              </w:rPr>
              <w:t xml:space="preserve"> участка для размещения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кв.м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о свободных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размеще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НТО</w:t>
            </w:r>
          </w:p>
          <w:p w:rsidR="001D31C2" w:rsidRDefault="00243B10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(в при-</w:t>
            </w:r>
            <w:proofErr w:type="spellStart"/>
            <w:r>
              <w:rPr>
                <w:color w:val="000000"/>
                <w:sz w:val="20"/>
              </w:rPr>
              <w:t>мечании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Ф.И.О. инд.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предпринима</w:t>
            </w:r>
            <w:proofErr w:type="spellEnd"/>
            <w:r>
              <w:rPr>
                <w:color w:val="000000"/>
                <w:sz w:val="20"/>
              </w:rPr>
              <w:t>-теля</w:t>
            </w:r>
            <w:proofErr w:type="gramEnd"/>
          </w:p>
          <w:p w:rsidR="001D31C2" w:rsidRDefault="001D31C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местной системе координат</w:t>
            </w:r>
          </w:p>
          <w:p w:rsidR="001D31C2" w:rsidRDefault="00243B1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МСК-25</w:t>
            </w:r>
          </w:p>
        </w:tc>
      </w:tr>
      <w:tr w:rsidR="001D31C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1D31C2" w:rsidRDefault="00243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D31C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243B10">
            <w:pPr>
              <w:pStyle w:val="Standard"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85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31C2" w:rsidRDefault="001D31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C2" w:rsidRDefault="001D31C2">
      <w:pPr>
        <w:widowControl/>
        <w:spacing w:line="360" w:lineRule="auto"/>
        <w:ind w:firstLine="0"/>
        <w:rPr>
          <w:color w:val="000000"/>
          <w:szCs w:val="26"/>
        </w:rPr>
      </w:pPr>
    </w:p>
    <w:p w:rsidR="001D31C2" w:rsidRDefault="00243B10">
      <w:pPr>
        <w:pStyle w:val="Standard"/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2. Управлению экономики и инвестиций администрации городского округа (Конечных) в пятидневный срок со дня принятия настоящего постановления   направить его в Министерство промышленности и торговли Приморского края для размещения на официальном сайте Правительства Приморского края                                        в информационно-телекоммуникационной сети Интернет.</w:t>
      </w:r>
    </w:p>
    <w:p w:rsidR="001D31C2" w:rsidRDefault="00243B10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 xml:space="preserve">3.  </w:t>
      </w:r>
      <w:r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1D31C2" w:rsidRDefault="001D31C2">
      <w:pPr>
        <w:spacing w:line="360" w:lineRule="auto"/>
        <w:ind w:firstLine="0"/>
        <w:rPr>
          <w:szCs w:val="28"/>
        </w:rPr>
      </w:pPr>
    </w:p>
    <w:p w:rsidR="001D31C2" w:rsidRDefault="001D31C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1D31C2" w:rsidRDefault="00243B10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            </w:t>
      </w:r>
      <w:proofErr w:type="spellStart"/>
      <w:r>
        <w:rPr>
          <w:szCs w:val="28"/>
        </w:rPr>
        <w:t>В.С.Пивень</w:t>
      </w:r>
      <w:proofErr w:type="spellEnd"/>
      <w:r>
        <w:rPr>
          <w:szCs w:val="28"/>
        </w:rPr>
        <w:t xml:space="preserve">          </w:t>
      </w:r>
    </w:p>
    <w:p w:rsidR="001D31C2" w:rsidRDefault="001D31C2">
      <w:pPr>
        <w:tabs>
          <w:tab w:val="left" w:pos="8041"/>
        </w:tabs>
        <w:ind w:firstLine="0"/>
        <w:rPr>
          <w:szCs w:val="28"/>
        </w:rPr>
      </w:pPr>
    </w:p>
    <w:p w:rsidR="001D31C2" w:rsidRDefault="001D31C2">
      <w:pPr>
        <w:tabs>
          <w:tab w:val="left" w:pos="8041"/>
        </w:tabs>
        <w:ind w:firstLine="0"/>
        <w:rPr>
          <w:szCs w:val="28"/>
        </w:rPr>
      </w:pPr>
    </w:p>
    <w:p w:rsidR="001D31C2" w:rsidRDefault="001D31C2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D31C2">
      <w:type w:val="continuous"/>
      <w:pgSz w:w="11906" w:h="16838"/>
      <w:pgMar w:top="284" w:right="851" w:bottom="1134" w:left="1418" w:header="0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10" w:rsidRDefault="00243B10">
      <w:r>
        <w:separator/>
      </w:r>
    </w:p>
  </w:endnote>
  <w:endnote w:type="continuationSeparator" w:id="0">
    <w:p w:rsidR="00243B10" w:rsidRDefault="0024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10" w:rsidRDefault="00243B10">
      <w:r>
        <w:separator/>
      </w:r>
    </w:p>
  </w:footnote>
  <w:footnote w:type="continuationSeparator" w:id="0">
    <w:p w:rsidR="00243B10" w:rsidRDefault="0024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C2" w:rsidRDefault="001D31C2">
    <w:pPr>
      <w:pStyle w:val="aa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2"/>
    <w:rsid w:val="001D31C2"/>
    <w:rsid w:val="00243B10"/>
    <w:rsid w:val="002E18E8"/>
    <w:rsid w:val="00BD1E9F"/>
    <w:rsid w:val="00C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B3A0"/>
  <w15:docId w15:val="{07F5CEE6-CCCB-4C34-8CEA-FCFF9F6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EE102F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qFormat/>
    <w:rsid w:val="002F0C92"/>
    <w:pPr>
      <w:widowControl w:val="0"/>
      <w:ind w:firstLine="709"/>
      <w:jc w:val="both"/>
    </w:pPr>
    <w:rPr>
      <w:kern w:val="2"/>
      <w:sz w:val="26"/>
      <w:lang w:eastAsia="zh-CN"/>
    </w:rPr>
  </w:style>
  <w:style w:type="paragraph" w:styleId="ac">
    <w:name w:val="Balloon Text"/>
    <w:basedOn w:val="a"/>
    <w:uiPriority w:val="99"/>
    <w:qFormat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qFormat/>
    <w:rsid w:val="00362433"/>
    <w:pPr>
      <w:widowControl w:val="0"/>
      <w:textAlignment w:val="baseline"/>
    </w:pPr>
    <w:rPr>
      <w:rFonts w:ascii="Arial" w:hAnsi="Arial" w:cs="Arial"/>
      <w:kern w:val="2"/>
      <w:lang w:eastAsia="zh-CN"/>
    </w:rPr>
  </w:style>
  <w:style w:type="paragraph" w:styleId="ad">
    <w:name w:val="List Paragraph"/>
    <w:basedOn w:val="a"/>
    <w:uiPriority w:val="34"/>
    <w:qFormat/>
    <w:rsid w:val="004B7094"/>
    <w:pPr>
      <w:ind w:left="720"/>
      <w:contextualSpacing/>
    </w:p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46C8-1699-49C0-AC66-B74B073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dc:description/>
  <cp:lastModifiedBy>Герасимова Зоя Николаевна</cp:lastModifiedBy>
  <cp:revision>55</cp:revision>
  <cp:lastPrinted>2022-12-26T06:12:00Z</cp:lastPrinted>
  <dcterms:created xsi:type="dcterms:W3CDTF">2019-06-14T04:17:00Z</dcterms:created>
  <dcterms:modified xsi:type="dcterms:W3CDTF">2022-12-27T02:19:00Z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