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D" w:rsidRDefault="000878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78ED" w:rsidRDefault="000878ED">
      <w:pPr>
        <w:pStyle w:val="ConsPlusNormal"/>
        <w:jc w:val="both"/>
        <w:outlineLvl w:val="0"/>
      </w:pPr>
    </w:p>
    <w:p w:rsidR="000878ED" w:rsidRDefault="000878ED">
      <w:pPr>
        <w:pStyle w:val="ConsPlusTitle"/>
        <w:jc w:val="center"/>
      </w:pPr>
      <w:r>
        <w:t>ДУМА АРСЕНЬЕВСКОГО ГОРОДСКОГО ОКРУГА</w:t>
      </w:r>
    </w:p>
    <w:p w:rsidR="000878ED" w:rsidRDefault="000878ED">
      <w:pPr>
        <w:pStyle w:val="ConsPlusTitle"/>
        <w:jc w:val="center"/>
      </w:pPr>
      <w:r>
        <w:t>ПРИМОРСКОГО КРАЯ</w:t>
      </w:r>
    </w:p>
    <w:p w:rsidR="000878ED" w:rsidRDefault="000878ED">
      <w:pPr>
        <w:pStyle w:val="ConsPlusTitle"/>
        <w:jc w:val="center"/>
      </w:pPr>
    </w:p>
    <w:p w:rsidR="000878ED" w:rsidRDefault="000878ED">
      <w:pPr>
        <w:pStyle w:val="ConsPlusTitle"/>
        <w:jc w:val="center"/>
      </w:pPr>
      <w:r>
        <w:t>МУНИЦИПАЛЬНЫЙ ПРАВОВОЙ АКТ</w:t>
      </w:r>
    </w:p>
    <w:p w:rsidR="000878ED" w:rsidRDefault="000878ED">
      <w:pPr>
        <w:pStyle w:val="ConsPlusTitle"/>
        <w:jc w:val="center"/>
      </w:pPr>
      <w:r>
        <w:t>от 2 июля 2013 г. N 47-МПА</w:t>
      </w:r>
    </w:p>
    <w:p w:rsidR="000878ED" w:rsidRDefault="000878ED">
      <w:pPr>
        <w:pStyle w:val="ConsPlusTitle"/>
        <w:jc w:val="center"/>
      </w:pPr>
    </w:p>
    <w:p w:rsidR="000878ED" w:rsidRDefault="000878ED">
      <w:pPr>
        <w:pStyle w:val="ConsPlusTitle"/>
        <w:jc w:val="center"/>
      </w:pPr>
      <w:r>
        <w:t>ПОРЯДОК</w:t>
      </w:r>
    </w:p>
    <w:p w:rsidR="000878ED" w:rsidRDefault="000878ED">
      <w:pPr>
        <w:pStyle w:val="ConsPlusTitle"/>
        <w:jc w:val="center"/>
      </w:pPr>
      <w:r>
        <w:t>ОПРЕДЕЛЕНИЯ ГРАНИЦ ТЕРРИТОРИЙ, ПРИЛЕГАЮЩИХ К НЕКОТОРЫМ</w:t>
      </w:r>
    </w:p>
    <w:p w:rsidR="000878ED" w:rsidRDefault="000878ED">
      <w:pPr>
        <w:pStyle w:val="ConsPlusTitle"/>
        <w:jc w:val="center"/>
      </w:pPr>
      <w:r>
        <w:t>ОРГАНИЗАЦИЯМ, ОБЪЕКТАМ, МЕСТАМ, НА КОТОРЫХ НЕ ДОПУСКАЕТСЯ</w:t>
      </w:r>
    </w:p>
    <w:p w:rsidR="000878ED" w:rsidRDefault="000878E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0878ED" w:rsidRDefault="000878ED">
      <w:pPr>
        <w:pStyle w:val="ConsPlusTitle"/>
        <w:jc w:val="center"/>
      </w:pPr>
      <w:r>
        <w:t>АРСЕНЬЕВСКОГО ГОРОДСКОГО ОКРУГА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right"/>
      </w:pPr>
      <w:proofErr w:type="gramStart"/>
      <w:r>
        <w:t>Принят</w:t>
      </w:r>
      <w:proofErr w:type="gramEnd"/>
    </w:p>
    <w:p w:rsidR="000878ED" w:rsidRDefault="000878ED">
      <w:pPr>
        <w:pStyle w:val="ConsPlusNormal"/>
        <w:jc w:val="right"/>
      </w:pPr>
      <w:r>
        <w:t>Думой Арсеньевского</w:t>
      </w:r>
    </w:p>
    <w:p w:rsidR="000878ED" w:rsidRDefault="000878ED">
      <w:pPr>
        <w:pStyle w:val="ConsPlusNormal"/>
        <w:jc w:val="right"/>
      </w:pPr>
      <w:r>
        <w:t>городского округа</w:t>
      </w:r>
    </w:p>
    <w:p w:rsidR="000878ED" w:rsidRDefault="000878ED">
      <w:pPr>
        <w:pStyle w:val="ConsPlusNormal"/>
        <w:jc w:val="right"/>
      </w:pPr>
      <w:r>
        <w:t>26 июня 2013 года</w:t>
      </w:r>
    </w:p>
    <w:p w:rsidR="000878ED" w:rsidRDefault="000878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78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78ED" w:rsidRDefault="00087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78ED" w:rsidRDefault="000878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Муниципальных правовых актов</w:t>
            </w:r>
            <w:proofErr w:type="gramEnd"/>
          </w:p>
          <w:p w:rsidR="000878ED" w:rsidRDefault="000878ED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0878ED" w:rsidRDefault="00087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5" w:history="1">
              <w:r>
                <w:rPr>
                  <w:color w:val="0000FF"/>
                </w:rPr>
                <w:t>N 123-МПА</w:t>
              </w:r>
            </w:hyperlink>
            <w:r>
              <w:rPr>
                <w:color w:val="392C69"/>
              </w:rPr>
              <w:t xml:space="preserve">, от 04.02.2014 </w:t>
            </w:r>
            <w:hyperlink r:id="rId6" w:history="1">
              <w:r>
                <w:rPr>
                  <w:color w:val="0000FF"/>
                </w:rPr>
                <w:t>N 137-МПА</w:t>
              </w:r>
            </w:hyperlink>
            <w:r>
              <w:rPr>
                <w:color w:val="392C69"/>
              </w:rPr>
              <w:t>,</w:t>
            </w:r>
          </w:p>
          <w:p w:rsidR="000878ED" w:rsidRDefault="00087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7" w:history="1">
              <w:r>
                <w:rPr>
                  <w:color w:val="0000FF"/>
                </w:rPr>
                <w:t>N 175-МПА</w:t>
              </w:r>
            </w:hyperlink>
            <w:r>
              <w:rPr>
                <w:color w:val="392C69"/>
              </w:rPr>
              <w:t xml:space="preserve">, от 03.08.2015 </w:t>
            </w:r>
            <w:hyperlink r:id="rId8" w:history="1">
              <w:r>
                <w:rPr>
                  <w:color w:val="0000FF"/>
                </w:rPr>
                <w:t>N 274-МПА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center"/>
        <w:outlineLvl w:val="0"/>
      </w:pPr>
      <w:r>
        <w:t>1. Общие положения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End"/>
      <w:r>
        <w:t xml:space="preserve">", </w:t>
      </w:r>
      <w:proofErr w:type="gramStart"/>
      <w:r>
        <w:t xml:space="preserve">постановлений администрации Приморского края: от 29 декабря 2012 года </w:t>
      </w:r>
      <w:hyperlink r:id="rId10" w:history="1">
        <w:r>
          <w:rPr>
            <w:color w:val="0000FF"/>
          </w:rPr>
          <w:t>N 455-па</w:t>
        </w:r>
      </w:hyperlink>
      <w:r>
        <w:t xml:space="preserve"> "О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Приморского края и их предельной заполняемости", от 1 октября 2014 года </w:t>
      </w:r>
      <w:hyperlink r:id="rId11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391-па</w:t>
        </w:r>
      </w:hyperlink>
      <w:r>
        <w:t xml:space="preserve"> "Об определении на территории Приморского края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в целях установления единого механизма определения границ прилегающих территорий к организациям, объектам, территориям, указанным в </w:t>
      </w:r>
      <w:hyperlink w:anchor="P52" w:history="1">
        <w:r>
          <w:rPr>
            <w:color w:val="0000FF"/>
          </w:rPr>
          <w:t>п. 2</w:t>
        </w:r>
      </w:hyperlink>
      <w:r>
        <w:t xml:space="preserve"> порядка, на которых запрещается реализация алкогольной продукции на территории Арсеньевского городского округа (далее - Порядок).</w:t>
      </w:r>
      <w:proofErr w:type="gramEnd"/>
    </w:p>
    <w:p w:rsidR="000878ED" w:rsidRDefault="000878ED">
      <w:pPr>
        <w:pStyle w:val="ConsPlusNormal"/>
        <w:jc w:val="both"/>
      </w:pPr>
      <w:r>
        <w:t xml:space="preserve">(пп. 1.1. в ред. Муниципального правового </w:t>
      </w:r>
      <w:hyperlink r:id="rId12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1.2. Розничная продажа алкогольной продукции не допускается на территориях, прилегающих: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к детским, образовательным, медицинским организациям и объектам спорта;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lastRenderedPageBreak/>
        <w:t>к оптовым и розничным рынкам, вокзалам, аэропортам;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к объектам военного назначения;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к местам массового скопления граждан и местам нахождения источников повышенной опасности.</w:t>
      </w:r>
    </w:p>
    <w:p w:rsidR="000878ED" w:rsidRDefault="000878ED">
      <w:pPr>
        <w:pStyle w:val="ConsPlusNormal"/>
        <w:jc w:val="both"/>
      </w:pPr>
      <w:r>
        <w:t xml:space="preserve">(пп. 1.2 в ред. Муниципального правового </w:t>
      </w:r>
      <w:hyperlink r:id="rId13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1.3. Основные понятия:</w:t>
      </w:r>
    </w:p>
    <w:p w:rsidR="000878ED" w:rsidRDefault="000878ED">
      <w:pPr>
        <w:pStyle w:val="ConsPlusNormal"/>
        <w:spacing w:before="220"/>
        <w:ind w:firstLine="540"/>
        <w:jc w:val="both"/>
      </w:pPr>
      <w:proofErr w:type="gramStart"/>
      <w:r>
        <w:t xml:space="preserve">-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</w:t>
      </w:r>
      <w:hyperlink r:id="rId14" w:history="1">
        <w:r>
          <w:rPr>
            <w:color w:val="0000FF"/>
          </w:rPr>
          <w:t>80.1</w:t>
        </w:r>
      </w:hyperlink>
      <w:r>
        <w:t>);</w:t>
      </w:r>
      <w:proofErr w:type="gramEnd"/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- образовательные организации - организации, определенные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 на основании лицензии. При этом к медицинским организациям не относятся фармацевтические организации;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- розничные рынки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</w:t>
      </w:r>
      <w:proofErr w:type="gramStart"/>
      <w:r>
        <w:t xml:space="preserve">Реестр розничных рынков по городу Арсеньеву утвержден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04.06.2007 N 128-па;</w:t>
      </w:r>
      <w:proofErr w:type="gramEnd"/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- прилегающая территория - включает обособленную территорию (при наличии таковой), а также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52" w:history="1">
        <w:r>
          <w:rPr>
            <w:color w:val="0000FF"/>
          </w:rPr>
          <w:t>п. 2</w:t>
        </w:r>
      </w:hyperlink>
      <w:r>
        <w:t xml:space="preserve"> Порядка;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-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объект общественного питания - объект (стационарный или нестационарный) по оказанию услуг общественного питания, в котором осуществляется розничная продажа алкогольной продукции (в том числе пива и пивных напитков);</w:t>
      </w:r>
    </w:p>
    <w:p w:rsidR="000878ED" w:rsidRDefault="000878ED">
      <w:pPr>
        <w:pStyle w:val="ConsPlusNormal"/>
        <w:spacing w:before="220"/>
        <w:ind w:firstLine="540"/>
        <w:jc w:val="both"/>
      </w:pPr>
      <w:proofErr w:type="gramStart"/>
      <w:r>
        <w:t xml:space="preserve">- места массового скопления граждан - территории, расположенные за пределами зданий </w:t>
      </w:r>
      <w:r>
        <w:lastRenderedPageBreak/>
        <w:t xml:space="preserve">(строений, сооружений), определенные как места проведения публичных мероприятий, организуемых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 и указанные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Администрации Приморского края от 29 декабря 2012 года N 455-па "О единых специально отведенных или приспособленных для коллективного обсуждения</w:t>
      </w:r>
      <w:proofErr w:type="gramEnd"/>
      <w:r>
        <w:t xml:space="preserve"> </w:t>
      </w:r>
      <w:proofErr w:type="gramStart"/>
      <w:r>
        <w:t>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Приморского края и их предельной заполняемости" в дни проведения в таких местах публичных мероприятий с заявленной численностью участников не менее 100 человек, а также территории, расположенные за пределами зданий (строений, сооружений), вне</w:t>
      </w:r>
      <w:proofErr w:type="gramEnd"/>
      <w:r>
        <w:t xml:space="preserve"> мест, указанных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Администрации Приморского края N 455-па, в дни проведения на таких территориях публичных мероприятий, организуемых в соответствии с </w:t>
      </w:r>
      <w:hyperlink r:id="rId20" w:history="1">
        <w:r>
          <w:rPr>
            <w:color w:val="0000FF"/>
          </w:rPr>
          <w:t>пунктом 2.1 статьи 8</w:t>
        </w:r>
      </w:hyperlink>
      <w:r>
        <w:t xml:space="preserve"> Федерального закона N 54-ФЗ, с заявленной численностью участников не менее 100 человек;</w:t>
      </w:r>
    </w:p>
    <w:p w:rsidR="000878ED" w:rsidRDefault="000878ED">
      <w:pPr>
        <w:pStyle w:val="ConsPlusNormal"/>
        <w:jc w:val="both"/>
      </w:pPr>
      <w:r>
        <w:t xml:space="preserve">(абзац введен Муниципальным правовым </w:t>
      </w:r>
      <w:hyperlink r:id="rId21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- места нахождения источников повышенной опасности - территории, расположенные в границах опасных производственных объектов, для которых предусмотрена обязательная разработка декларации промышленной безопасности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объектов";</w:t>
      </w:r>
    </w:p>
    <w:p w:rsidR="000878ED" w:rsidRDefault="000878ED">
      <w:pPr>
        <w:pStyle w:val="ConsPlusNormal"/>
        <w:jc w:val="both"/>
      </w:pPr>
      <w:r>
        <w:t xml:space="preserve">(абзац введен Муниципальным правовым </w:t>
      </w:r>
      <w:hyperlink r:id="rId23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обособленная территория мест массового скопления граждан и мест нахождения источников повышенной опасности - места массового скопления граждан и нахождения источников повышенной опасности, границы которых обозначены ограждением (объектами искусственного происхождения);</w:t>
      </w:r>
    </w:p>
    <w:p w:rsidR="000878ED" w:rsidRDefault="000878ED">
      <w:pPr>
        <w:pStyle w:val="ConsPlusNormal"/>
        <w:jc w:val="both"/>
      </w:pPr>
      <w:r>
        <w:t xml:space="preserve">(абзац введен Муниципальным правовым </w:t>
      </w:r>
      <w:hyperlink r:id="rId24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- граница места массового скопления граждан и места нахождения источников повышенной опасности - граница земельного участка, определенного как место проведения публичного мероприятия или закрепленного, за объектом нахождения источника повышенной опасности.</w:t>
      </w:r>
    </w:p>
    <w:p w:rsidR="000878ED" w:rsidRDefault="000878ED">
      <w:pPr>
        <w:pStyle w:val="ConsPlusNormal"/>
        <w:jc w:val="both"/>
      </w:pPr>
      <w:r>
        <w:t xml:space="preserve">(абзац введен Муниципальным правовым </w:t>
      </w:r>
      <w:hyperlink r:id="rId25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center"/>
        <w:outlineLvl w:val="0"/>
      </w:pPr>
      <w:bookmarkStart w:id="0" w:name="P52"/>
      <w:bookmarkEnd w:id="0"/>
      <w:r>
        <w:t>2. Размер прилегающей территории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ind w:firstLine="540"/>
        <w:jc w:val="both"/>
      </w:pPr>
      <w:r>
        <w:t>2.1. Размер прилегающей территории, на которой не допускается розничная продажа алкогольной продукции, устанавливается следующий: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2.1.1. Для детских организаций: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100 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2.1.2. Для образовательных организаций: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100 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2.1.2.1. Автошкол: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lastRenderedPageBreak/>
        <w:t>а) при наличии обособленной территории - не менее 20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40 м.</w:t>
      </w:r>
    </w:p>
    <w:p w:rsidR="000878ED" w:rsidRDefault="000878ED">
      <w:pPr>
        <w:pStyle w:val="ConsPlusNormal"/>
        <w:jc w:val="both"/>
      </w:pPr>
      <w:r>
        <w:t xml:space="preserve">(пп. 2.1.2.1 </w:t>
      </w:r>
      <w:proofErr w:type="gramStart"/>
      <w:r>
        <w:t>введен</w:t>
      </w:r>
      <w:proofErr w:type="gramEnd"/>
      <w:r>
        <w:t xml:space="preserve"> Муниципальным правовым </w:t>
      </w:r>
      <w:hyperlink r:id="rId26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30.06.2014 N 175-МПА)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2.1.3. Для медицинских организаций: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2.1.3.1. Частных: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15 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2.1.3.2. Бюджетных: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40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80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в) кабинетов врачебной практики - не менее 20 м.</w:t>
      </w:r>
    </w:p>
    <w:p w:rsidR="000878ED" w:rsidRDefault="000878ED">
      <w:pPr>
        <w:pStyle w:val="ConsPlusNormal"/>
        <w:jc w:val="both"/>
      </w:pPr>
      <w:r>
        <w:t>(абзац "</w:t>
      </w:r>
      <w:proofErr w:type="gramStart"/>
      <w:r>
        <w:t>в</w:t>
      </w:r>
      <w:proofErr w:type="gramEnd"/>
      <w:r>
        <w:t xml:space="preserve">" введен Муниципальным правовым </w:t>
      </w:r>
      <w:hyperlink r:id="rId27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04.02.2014 N 137-МПА)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2.1.4. Для объектов спорта: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40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80 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2.1.5. Для объектов военного назначения: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100 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2.1.6. Для оптовых, розничных рынков: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25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50 м.</w:t>
      </w:r>
    </w:p>
    <w:p w:rsidR="000878ED" w:rsidRDefault="000878ED">
      <w:pPr>
        <w:pStyle w:val="ConsPlusNormal"/>
        <w:jc w:val="both"/>
      </w:pPr>
      <w:r>
        <w:t xml:space="preserve">(пп. 2.1.6 в ред. Муниципального правового </w:t>
      </w:r>
      <w:hyperlink r:id="rId28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03.12.2013 N 123-МПА)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2.1.7. Для вокзалов, аэропортов: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100 м.</w:t>
      </w:r>
    </w:p>
    <w:p w:rsidR="000878ED" w:rsidRDefault="000878ED">
      <w:pPr>
        <w:pStyle w:val="ConsPlusNormal"/>
        <w:jc w:val="both"/>
      </w:pPr>
      <w:r>
        <w:t xml:space="preserve">(пп. 2.1.7 </w:t>
      </w:r>
      <w:proofErr w:type="gramStart"/>
      <w:r>
        <w:t>введен</w:t>
      </w:r>
      <w:proofErr w:type="gramEnd"/>
      <w:r>
        <w:t xml:space="preserve"> Муниципальным правовым </w:t>
      </w:r>
      <w:hyperlink r:id="rId29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03.12.2013 N 123-МПА)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2.1.8. Для мест массового скопления граждан и мест нахождения источников повышенной опасности: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а) при наличии обособленной территории - не менее 50 м;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не менее 100 м.</w:t>
      </w:r>
    </w:p>
    <w:p w:rsidR="000878ED" w:rsidRDefault="000878ED">
      <w:pPr>
        <w:pStyle w:val="ConsPlusNormal"/>
        <w:jc w:val="both"/>
      </w:pPr>
      <w:r>
        <w:lastRenderedPageBreak/>
        <w:t xml:space="preserve">(пп. 2.1.8 </w:t>
      </w:r>
      <w:proofErr w:type="gramStart"/>
      <w:r>
        <w:t>введен</w:t>
      </w:r>
      <w:proofErr w:type="gramEnd"/>
      <w:r>
        <w:t xml:space="preserve"> Муниципальным правовым </w:t>
      </w:r>
      <w:hyperlink r:id="rId30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2.2. На территориях, прилегающих к детским, образовательным, медицинским организациям, объектам спорта и военного назначения действует полный запрет на розничную продажу алкогольной продукции в торговых объектах и розничную продажу алкогольной продукции при оказании услуг общественного питания.</w:t>
      </w:r>
    </w:p>
    <w:p w:rsidR="000878ED" w:rsidRDefault="000878ED">
      <w:pPr>
        <w:pStyle w:val="ConsPlusNormal"/>
        <w:spacing w:before="220"/>
        <w:ind w:firstLine="540"/>
        <w:jc w:val="both"/>
      </w:pPr>
      <w:proofErr w:type="gramStart"/>
      <w:r>
        <w:t>На территориях, прилегающих к оптовым, розничным рынкам, вокзалам, местам массового скопления граждан и местам нахождения источников повышенной опасности, допускается розничная продажа алкогольный продукции с содержанием этилового спирта не более чем 16,5 процента объема готовой продукции, осуществляемая организациями, и розничная продажа пива и пивных напитков, сидра, пуаре, медовухи, осуществляемая индивидуальными предпринимателями, при оказании этими организациями и индивидуальными предпринимателями услуг общественного питания</w:t>
      </w:r>
      <w:proofErr w:type="gramEnd"/>
      <w:r>
        <w:t xml:space="preserve"> в местах оказания таких услуг.</w:t>
      </w:r>
    </w:p>
    <w:p w:rsidR="000878ED" w:rsidRDefault="000878ED">
      <w:pPr>
        <w:pStyle w:val="ConsPlusNormal"/>
        <w:jc w:val="both"/>
      </w:pPr>
      <w:r>
        <w:t xml:space="preserve">(в ред. Муниципального правового </w:t>
      </w:r>
      <w:hyperlink r:id="rId31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center"/>
        <w:outlineLvl w:val="0"/>
      </w:pPr>
      <w:r>
        <w:t>3. Способ расчета расстояний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ind w:firstLine="540"/>
        <w:jc w:val="both"/>
      </w:pPr>
      <w:r>
        <w:t xml:space="preserve">3.1. Способ расчета расстояния от организаций и (или) объектов,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до границ прилегающих территорий, на которых не допускается реализация алкогольной продукции, определяется по радиусу (кратчайшему расстоянию </w:t>
      </w:r>
      <w:proofErr w:type="gramStart"/>
      <w:r>
        <w:t>по</w:t>
      </w:r>
      <w:proofErr w:type="gramEnd"/>
      <w:r>
        <w:t xml:space="preserve"> прямой):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3.1.1.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до входа для посетителей в стационарный торговый объект (объект общественного питания), осуществляющий розничную продажу алкогольной продукции;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3.1.2. При наличии обособленной территории - от входа для посетителей на обособленную территорию организации и (или) объекта,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до входа для посетителей в стационарный торговый объект (объект общественного питания), осуществляющий розничную продажу алкогольной продукции.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3.2. При определении протяженности прилегающих территорий расстояние измеряется путем замера радиуса окружности с центром радиуса в месте входа для посетителей в здание (строение, сооружение), в котором расположены организации и (или) объекты,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либо на их обособленную территорию.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 (в т.ч. с обособленной территорией).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3.3. Исключен. - Муниципальный правовой </w:t>
      </w:r>
      <w:hyperlink r:id="rId32" w:history="1">
        <w:r>
          <w:rPr>
            <w:color w:val="0000FF"/>
          </w:rPr>
          <w:t>акт</w:t>
        </w:r>
      </w:hyperlink>
      <w:r>
        <w:t xml:space="preserve"> Думы Арсеньевского городского округа от 30.06.2014 N 175-МПА.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3.3. Способ расчета расстояния до границ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продукции, определяется с учетом сложившейся системы дорог, тротуаров, пешеходных путей, путем замера расстояния по пешеходному пути: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3.3.1. При отсутствии обособленной территории - от границы места массового скопления граждан или места нахождения источника повышенной опасности до входа для посетителей в стационарный торговый объект или объект общественного питания.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3.3.2. При наличии обособленной территории - от входа для посетителей на обособленную </w:t>
      </w:r>
      <w:r>
        <w:lastRenderedPageBreak/>
        <w:t>территорию мест массового скопления граждан или мест нахождения источников повышенной опасности до входа для посетителей в стационарный торговый объект (объект общественного питания), осуществляющий розничную продажу алкогольной продукции.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При наличии нескольких входов на обособленную территорию расчет проводится от каждого входа на территорию.</w:t>
      </w:r>
    </w:p>
    <w:p w:rsidR="000878ED" w:rsidRDefault="000878ED">
      <w:pPr>
        <w:pStyle w:val="ConsPlusNormal"/>
        <w:jc w:val="both"/>
      </w:pPr>
      <w:r>
        <w:t xml:space="preserve">(пп. 3.3 </w:t>
      </w:r>
      <w:proofErr w:type="gramStart"/>
      <w:r>
        <w:t>введен</w:t>
      </w:r>
      <w:proofErr w:type="gramEnd"/>
      <w:r>
        <w:t xml:space="preserve"> Муниципальным правовым </w:t>
      </w:r>
      <w:hyperlink r:id="rId33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center"/>
        <w:outlineLvl w:val="0"/>
      </w:pPr>
      <w:r>
        <w:t>4. Механизм реализации Порядка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ind w:firstLine="540"/>
        <w:jc w:val="both"/>
      </w:pPr>
      <w:r>
        <w:t xml:space="preserve">4.1. Перечень организаций, объектов, мест,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а также схемы границ прилегающих к ним территорий, на которых не допускается розничная продажа алкогольной продукции, утверждаются постановлением администрации Арсеньевского городского округа (далее - Постановление).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На схеме отмечается организация, объект, место,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а также прилегающая к нему территория, на которой не допускается розничная продажа алкогольной продукции. При этом схема соотносится с местностью (на ней указываются наименования улиц и номера домов, примыкающих к организации или объекту).</w:t>
      </w:r>
    </w:p>
    <w:p w:rsidR="000878ED" w:rsidRDefault="000878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4.1 в ред. Муниципального правового </w:t>
      </w:r>
      <w:hyperlink r:id="rId34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 xml:space="preserve">4.2. При размещении, утверждении новых организаций, объектов, мест, перечисленных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схемы границ прилегающих к ним территорий, на которых не допускается розничная реализация алкогольной продукции, определяется администрацией городского округа в срок не более двух месяцев с момента уведомления администрации городского округа.</w:t>
      </w:r>
    </w:p>
    <w:p w:rsidR="000878ED" w:rsidRDefault="000878ED">
      <w:pPr>
        <w:pStyle w:val="ConsPlusNormal"/>
        <w:spacing w:before="220"/>
        <w:ind w:firstLine="540"/>
        <w:jc w:val="both"/>
      </w:pPr>
      <w:proofErr w:type="gramStart"/>
      <w:r>
        <w:t xml:space="preserve">В месте массового скопления граждан, указанного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Порядка, где предполагается проведение публичного мероприятия, не позднее, чем за два дня до дня проведения публичного мероприятия администрация Арсеньевского городского округа извещает находящиеся в месте его проведения и на прилегающей к такому месту территории организации, осуществляющие розничную продажу алкогольной продукции, посредством направления уведомления о месте, времени, целях, формах и иных условиях</w:t>
      </w:r>
      <w:proofErr w:type="gramEnd"/>
      <w:r>
        <w:t xml:space="preserve"> проведения публичного мероприятия заказным почтовым отправлением с уведомлением о вручении или иным доступным способом.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Период времени, в течение которого не допускается розничная продажа алкогольной продукции в месте, указанном в настоящем пункте, начинается за два часа до начала публичного мероприятия и заканчивается через один час после окончания публичного мероприятия.</w:t>
      </w:r>
    </w:p>
    <w:p w:rsidR="000878ED" w:rsidRDefault="000878ED">
      <w:pPr>
        <w:pStyle w:val="ConsPlusNormal"/>
        <w:jc w:val="both"/>
      </w:pPr>
      <w:r>
        <w:t xml:space="preserve">(пп. 4.2 в ред. Муниципального правового </w:t>
      </w:r>
      <w:hyperlink r:id="rId3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03.08.2015 N 274-МПА)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4.3. Администрация Арсеньевского городского округа не позднее 1 месяца со дня принятия Постановления направляет информацию о принятых решениях в Департамент лицензирования и торговли Приморского края, осуществляющий лицензирование розничной продажи алкогольной продукции.</w:t>
      </w:r>
    </w:p>
    <w:p w:rsidR="000878ED" w:rsidRDefault="000878ED">
      <w:pPr>
        <w:pStyle w:val="ConsPlusNormal"/>
        <w:spacing w:before="220"/>
        <w:ind w:firstLine="540"/>
        <w:jc w:val="both"/>
      </w:pPr>
      <w:r>
        <w:t>4.4. При возникновении спорных вопросов по определению границ прилегающих территорий к организациям (или) объектам, на которых не допускается розничная продажа алкогольной продукции, следует руководствоваться кадастровым планом земельного участка.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center"/>
        <w:outlineLvl w:val="0"/>
      </w:pPr>
      <w:r>
        <w:t>5. Вступление в силу муниципального правового акта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ind w:firstLine="540"/>
        <w:jc w:val="both"/>
      </w:pPr>
      <w:r>
        <w:t>Настоящий муниципальный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right"/>
      </w:pPr>
      <w:r>
        <w:t>Глава городского округа</w:t>
      </w:r>
    </w:p>
    <w:p w:rsidR="000878ED" w:rsidRDefault="000878ED">
      <w:pPr>
        <w:pStyle w:val="ConsPlusNormal"/>
        <w:jc w:val="right"/>
      </w:pPr>
      <w:r>
        <w:t>А.А.ДРОНИН</w:t>
      </w: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jc w:val="both"/>
      </w:pPr>
    </w:p>
    <w:p w:rsidR="000878ED" w:rsidRDefault="00087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AF4" w:rsidRDefault="00514AF4"/>
    <w:sectPr w:rsidR="00514AF4" w:rsidSect="006D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78ED"/>
    <w:rsid w:val="000878ED"/>
    <w:rsid w:val="0051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6146F2DCC00FB7B3FC3F0B598D74F28489B7E0276FBBF023DFC9E90CC2920159BBC22F65B7F7F6A2E22B81B010D7C0666518E2391981E2EBA76zCpAX" TargetMode="External"/><Relationship Id="rId13" Type="http://schemas.openxmlformats.org/officeDocument/2006/relationships/hyperlink" Target="consultantplus://offline/ref=4176146F2DCC00FB7B3FC3F0B598D74F28489B7E0276FBBF023DFC9E90CC2920159BBC22F65B7F7F6A2E23BC1B010D7C0666518E2391981E2EBA76zCpAX" TargetMode="External"/><Relationship Id="rId18" Type="http://schemas.openxmlformats.org/officeDocument/2006/relationships/hyperlink" Target="consultantplus://offline/ref=4176146F2DCC00FB7B3FC3F0B598D74F28489B7E0B70F6BE0331A194989525221294E335E3122B726B2A3CBD174B5E3851z6pBX" TargetMode="External"/><Relationship Id="rId26" Type="http://schemas.openxmlformats.org/officeDocument/2006/relationships/hyperlink" Target="consultantplus://offline/ref=4176146F2DCC00FB7B3FC3F0B598D74F28489B7E0D79F1BA043DFC9E90CC2920159BBC22F65B7F7F6A2E22BB1B010D7C0666518E2391981E2EBA76zCp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76146F2DCC00FB7B3FC3F0B598D74F28489B7E0276FBBF023DFC9E90CC2920159BBC22F65B7F7F6A2E23BB1B010D7C0666518E2391981E2EBA76zCpAX" TargetMode="External"/><Relationship Id="rId34" Type="http://schemas.openxmlformats.org/officeDocument/2006/relationships/hyperlink" Target="consultantplus://offline/ref=4176146F2DCC00FB7B3FC3F0B598D74F28489B7E0276FBBF023DFC9E90CC2920159BBC22F65B7F7F6A2E21BE1B010D7C0666518E2391981E2EBA76zCpAX" TargetMode="External"/><Relationship Id="rId7" Type="http://schemas.openxmlformats.org/officeDocument/2006/relationships/hyperlink" Target="consultantplus://offline/ref=4176146F2DCC00FB7B3FC3F0B598D74F28489B7E0D79F1BA043DFC9E90CC2920159BBC22F65B7F7F6A2E22B81B010D7C0666518E2391981E2EBA76zCpAX" TargetMode="External"/><Relationship Id="rId12" Type="http://schemas.openxmlformats.org/officeDocument/2006/relationships/hyperlink" Target="consultantplus://offline/ref=4176146F2DCC00FB7B3FC3F0B598D74F28489B7E0276FBBF023DFC9E90CC2920159BBC22F65B7F7F6A2E22B41B010D7C0666518E2391981E2EBA76zCpAX" TargetMode="External"/><Relationship Id="rId17" Type="http://schemas.openxmlformats.org/officeDocument/2006/relationships/hyperlink" Target="consultantplus://offline/ref=4176146F2DCC00FB7B3FDDFDA3F489402B43CD7B0875F8E95862A7C3C7C5237740D4BD6CB352607F6D3020BD12z5p5X" TargetMode="External"/><Relationship Id="rId25" Type="http://schemas.openxmlformats.org/officeDocument/2006/relationships/hyperlink" Target="consultantplus://offline/ref=4176146F2DCC00FB7B3FC3F0B598D74F28489B7E0276FBBF023DFC9E90CC2920159BBC22F65B7F7F6A2E20BD1B010D7C0666518E2391981E2EBA76zCpAX" TargetMode="External"/><Relationship Id="rId33" Type="http://schemas.openxmlformats.org/officeDocument/2006/relationships/hyperlink" Target="consultantplus://offline/ref=4176146F2DCC00FB7B3FC3F0B598D74F28489B7E0276FBBF023DFC9E90CC2920159BBC22F65B7F7F6A2E20B51B010D7C0666518E2391981E2EBA76zCpA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6146F2DCC00FB7B3FC3F0B598D74F28489B7E0B75F2B60730A194989525221294E335E3122B726B2A3CBD174B5E3851z6pBX" TargetMode="External"/><Relationship Id="rId20" Type="http://schemas.openxmlformats.org/officeDocument/2006/relationships/hyperlink" Target="consultantplus://offline/ref=4176146F2DCC00FB7B3FDDFDA3F489402B43CD7B0875F8E95862A7C3C7C5237752D4E560B2567F796D2576EC540051395775508D23939F02z2pCX" TargetMode="External"/><Relationship Id="rId29" Type="http://schemas.openxmlformats.org/officeDocument/2006/relationships/hyperlink" Target="consultantplus://offline/ref=4176146F2DCC00FB7B3FC3F0B598D74F28489B7E0C78F5BC043DFC9E90CC2920159BBC22F65B7F7F6A2E23BC1B010D7C0666518E2391981E2EBA76zCp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6146F2DCC00FB7B3FC3F0B598D74F28489B7E0D72F3B6033DFC9E90CC2920159BBC22F65B7F7F6A2E22B81B010D7C0666518E2391981E2EBA76zCpAX" TargetMode="External"/><Relationship Id="rId11" Type="http://schemas.openxmlformats.org/officeDocument/2006/relationships/hyperlink" Target="consultantplus://offline/ref=4176146F2DCC00FB7B3FC3F0B598D74F28489B7E0D74F0BB003DFC9E90CC2920159BBC30F603737E6E3022BA0E575C3Az5p3X" TargetMode="External"/><Relationship Id="rId24" Type="http://schemas.openxmlformats.org/officeDocument/2006/relationships/hyperlink" Target="consultantplus://offline/ref=4176146F2DCC00FB7B3FC3F0B598D74F28489B7E0276FBBF023DFC9E90CC2920159BBC22F65B7F7F6A2E23B41B010D7C0666518E2391981E2EBA76zCpAX" TargetMode="External"/><Relationship Id="rId32" Type="http://schemas.openxmlformats.org/officeDocument/2006/relationships/hyperlink" Target="consultantplus://offline/ref=4176146F2DCC00FB7B3FC3F0B598D74F28489B7E0D79F1BA043DFC9E90CC2920159BBC22F65B7F7F6A2E23BD1B010D7C0666518E2391981E2EBA76zCpA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76146F2DCC00FB7B3FC3F0B598D74F28489B7E0C78F5BC043DFC9E90CC2920159BBC22F65B7F7F6A2E22B81B010D7C0666518E2391981E2EBA76zCpAX" TargetMode="External"/><Relationship Id="rId15" Type="http://schemas.openxmlformats.org/officeDocument/2006/relationships/hyperlink" Target="consultantplus://offline/ref=4176146F2DCC00FB7B3FDDFDA3F489402B47C7760272F8E95862A7C3C7C5237740D4BD6CB352607F6D3020BD12z5p5X" TargetMode="External"/><Relationship Id="rId23" Type="http://schemas.openxmlformats.org/officeDocument/2006/relationships/hyperlink" Target="consultantplus://offline/ref=4176146F2DCC00FB7B3FC3F0B598D74F28489B7E0276FBBF023DFC9E90CC2920159BBC22F65B7F7F6A2E23B51B010D7C0666518E2391981E2EBA76zCpAX" TargetMode="External"/><Relationship Id="rId28" Type="http://schemas.openxmlformats.org/officeDocument/2006/relationships/hyperlink" Target="consultantplus://offline/ref=4176146F2DCC00FB7B3FC3F0B598D74F28489B7E0C78F5BC043DFC9E90CC2920159BBC22F65B7F7F6A2E22BA1B010D7C0666518E2391981E2EBA76zCpA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76146F2DCC00FB7B3FC3F0B598D74F28489B7E0B70F6BE0331A194989525221294E335E3122B726B2A3CBD174B5E3851z6pBX" TargetMode="External"/><Relationship Id="rId19" Type="http://schemas.openxmlformats.org/officeDocument/2006/relationships/hyperlink" Target="consultantplus://offline/ref=4176146F2DCC00FB7B3FC3F0B598D74F28489B7E0B70F6BE0331A194989525221294E335E3122B726B2A3CBD174B5E3851z6pBX" TargetMode="External"/><Relationship Id="rId31" Type="http://schemas.openxmlformats.org/officeDocument/2006/relationships/hyperlink" Target="consultantplus://offline/ref=4176146F2DCC00FB7B3FC3F0B598D74F28489B7E0276FBBF023DFC9E90CC2920159BBC22F65B7F7F6A2E20BB1B010D7C0666518E2391981E2EBA76zCpA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6146F2DCC00FB7B3FDDFDA3F489402947C5750E71F8E95862A7C3C7C5237740D4BD6CB352607F6D3020BD12z5p5X" TargetMode="External"/><Relationship Id="rId14" Type="http://schemas.openxmlformats.org/officeDocument/2006/relationships/hyperlink" Target="consultantplus://offline/ref=4176146F2DCC00FB7B3FDDFDA3F489402947C1720979F8E95862A7C3C7C5237752D4E560B25676796C2576EC540051395775508D23939F02z2pCX" TargetMode="External"/><Relationship Id="rId22" Type="http://schemas.openxmlformats.org/officeDocument/2006/relationships/hyperlink" Target="consultantplus://offline/ref=4176146F2DCC00FB7B3FDDFDA3F489402B43C6750979F8E95862A7C3C7C5237740D4BD6CB352607F6D3020BD12z5p5X" TargetMode="External"/><Relationship Id="rId27" Type="http://schemas.openxmlformats.org/officeDocument/2006/relationships/hyperlink" Target="consultantplus://offline/ref=4176146F2DCC00FB7B3FC3F0B598D74F28489B7E0D72F3B6033DFC9E90CC2920159BBC22F65B7F7F6A2E22BB1B010D7C0666518E2391981E2EBA76zCpAX" TargetMode="External"/><Relationship Id="rId30" Type="http://schemas.openxmlformats.org/officeDocument/2006/relationships/hyperlink" Target="consultantplus://offline/ref=4176146F2DCC00FB7B3FC3F0B598D74F28489B7E0276FBBF023DFC9E90CC2920159BBC22F65B7F7F6A2E20BF1B010D7C0666518E2391981E2EBA76zCpAX" TargetMode="External"/><Relationship Id="rId35" Type="http://schemas.openxmlformats.org/officeDocument/2006/relationships/hyperlink" Target="consultantplus://offline/ref=4176146F2DCC00FB7B3FC3F0B598D74F28489B7E0276FBBF023DFC9E90CC2920159BBC22F65B7F7F6A2E21BB1B010D7C0666518E2391981E2EBA76zCp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3257</Words>
  <Characters>18569</Characters>
  <Application>Microsoft Office Word</Application>
  <DocSecurity>0</DocSecurity>
  <Lines>154</Lines>
  <Paragraphs>43</Paragraphs>
  <ScaleCrop>false</ScaleCrop>
  <Company/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Isaenko_TD</dc:creator>
  <cp:lastModifiedBy>Isaenko_TD</cp:lastModifiedBy>
  <cp:revision>1</cp:revision>
  <dcterms:created xsi:type="dcterms:W3CDTF">2020-07-13T23:41:00Z</dcterms:created>
  <dcterms:modified xsi:type="dcterms:W3CDTF">2020-07-13T23:44:00Z</dcterms:modified>
</cp:coreProperties>
</file>